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Banking Hostage Crisis: A Structural Analysis of Australian Financial Stability and Social Liquidity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Synthesis: The Architecture of Capture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Australian macroeconomic landscape is currently defined not by the free interaction of supply and demand, but by a rigid, undeclared directive: the preservation of banking sector solvency at any social cost. Analysis of 2024–2025 financial data suggests that the Australian economy has transitioned from a productivity-based market system to a "Bank Solvency Policy" disguised as a residential housing market. This report posits that the "Big Four" banking institutions—Commonwealth Bank of Australia (CBA), Westpac (WBC), National Australia Bank (NAB), and Australia and New Zealand Banking Group (ANZ)—have fundamentally mutated. They have ceased to function as traditional intermediaries of capital allocated to business innovation. Instead, the evidence indicates they now operate as colossal, state-guaranteed real estate hedge funds, having wagered the national balance sheet on a single, highly leveraged asset class: residential housing.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of this dynamic is the "Hostage Situation." This describes a scenario where the Australian Federal Government acts as a captive entity, bound by the solvency requirements of these four institutions. The Big Four are designated as "domestically systemically important banks" (D-SIBs), effectively rendering them "too big to fail".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Because they hold a concentration of residential mortgage exposure that global bodies like the IMF have flagged as a key risk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government faces a binary choice: ensure the value of the banks' primary collateral (housing) never contracts, or face a systemic insolvency event that would freeze credit and potentially collapse the currency.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structural capture necessitates that domestic policy—ranging from immigration settings to tax concessions—be reinterpreted as instruments of </w:t>
      </w:r>
      <w:r w:rsidDel="00000000" w:rsidR="00000000" w:rsidRPr="00000000">
        <w:rPr>
          <w:rFonts w:ascii="Google Sans Text" w:cs="Google Sans Text" w:eastAsia="Google Sans Text" w:hAnsi="Google Sans Text"/>
          <w:b w:val="1"/>
          <w:bCs w:val="1"/>
          <w:color w:val="1f1f1f"/>
          <w:rtl w:val="0"/>
        </w:rPr>
        <w:t xml:space="preserve">Collateral Management</w:t>
      </w:r>
      <w:r w:rsidDel="00000000" w:rsidR="00000000" w:rsidRPr="00000000">
        <w:rPr>
          <w:rFonts w:ascii="Google Sans Text" w:cs="Google Sans Text" w:eastAsia="Google Sans Text" w:hAnsi="Google Sans Text"/>
          <w:color w:val="1f1f1f"/>
          <w:rtl w:val="0"/>
        </w:rPr>
        <w:t xml:space="preserve">. The government functions as the "Insurance Policy" for the banking sector. When the property market appreciates, the banks privatize the gains. Conversely, when the market threatens to stall, the "pain" is socialized. This "Social Bailout" involves the transfer of financial risk from the bank's ledger to the lived reality of the citizenry, manifesting as rental crises and wage stagnation. Furthermore, the sector is pivoting toward a "Feudal Exit Strategy," shifting lending toward large-scale corporate landlords and "Build-to-Rent" (BTR) initiatives to secure unbreakable yields from a permanent rental class.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Hedge Fund Reality: Mechanics of Risk Concentration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Transformation of the Loan Book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traditional mandate of a banking system is the efficient allocation of capital to productive enterprise. The Australian banking sector appears to have abandoned this mandate in favor of asset price inflation. The 2025 reporting period confirms a concentration of risk that distinguishes the Australian system from its global peers.</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The Exposure Metrics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profound shift in the operational model of Australian banks is evidenced by the composition of their loan books. Analysis reveals that residential mortgages constitute the overwhelming majority of lending assets, effectively transforming these institutions into monolines wagers on the property market.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Specific Institution Data (FY2024/2025):</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Commonwealth Bank (CBA):</w:t>
      </w:r>
      <w:r w:rsidDel="00000000" w:rsidR="00000000" w:rsidRPr="00000000">
        <w:rPr>
          <w:rFonts w:ascii="Google Sans Text" w:cs="Google Sans Text" w:eastAsia="Google Sans Text" w:hAnsi="Google Sans Text"/>
          <w:color w:val="1f1f1f"/>
          <w:rtl w:val="0"/>
        </w:rPr>
        <w:t xml:space="preserve"> As the titan of the sector, CBA’s exposure is the most acute. As of June 2025, CBA’s residential mortgage portfolio stood at </w:t>
      </w:r>
      <w:r w:rsidDel="00000000" w:rsidR="00000000" w:rsidRPr="00000000">
        <w:rPr>
          <w:rFonts w:ascii="Google Sans Text" w:cs="Google Sans Text" w:eastAsia="Google Sans Text" w:hAnsi="Google Sans Text"/>
          <w:b w:val="1"/>
          <w:bCs w:val="1"/>
          <w:color w:val="1f1f1f"/>
          <w:rtl w:val="0"/>
        </w:rPr>
        <w:t xml:space="preserve">$523 billion</w:t>
      </w:r>
      <w:r w:rsidDel="00000000" w:rsidR="00000000" w:rsidRPr="00000000">
        <w:rPr>
          <w:rFonts w:ascii="Google Sans Text" w:cs="Google Sans Text" w:eastAsia="Google Sans Text" w:hAnsi="Google Sans Text"/>
          <w:color w:val="1f1f1f"/>
          <w:rtl w:val="0"/>
        </w:rPr>
        <w:t xml:space="preserve"> on a spot balance basis.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figure dwarfs their business lending activity; for the same period, the bank lent only </w:t>
      </w:r>
      <w:r w:rsidDel="00000000" w:rsidR="00000000" w:rsidRPr="00000000">
        <w:rPr>
          <w:rFonts w:ascii="Google Sans Text" w:cs="Google Sans Text" w:eastAsia="Google Sans Text" w:hAnsi="Google Sans Text"/>
          <w:b w:val="1"/>
          <w:bCs w:val="1"/>
          <w:color w:val="1f1f1f"/>
          <w:rtl w:val="0"/>
        </w:rPr>
        <w:t xml:space="preserve">$42 billion</w:t>
      </w:r>
      <w:r w:rsidDel="00000000" w:rsidR="00000000" w:rsidRPr="00000000">
        <w:rPr>
          <w:rFonts w:ascii="Google Sans Text" w:cs="Google Sans Text" w:eastAsia="Google Sans Text" w:hAnsi="Google Sans Text"/>
          <w:color w:val="1f1f1f"/>
          <w:rtl w:val="0"/>
        </w:rPr>
        <w:t xml:space="preserve"> in new funding to businesses.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bank's proprietary home lending flow mix accounts for approximately </w:t>
      </w:r>
      <w:r w:rsidDel="00000000" w:rsidR="00000000" w:rsidRPr="00000000">
        <w:rPr>
          <w:rFonts w:ascii="Google Sans Text" w:cs="Google Sans Text" w:eastAsia="Google Sans Text" w:hAnsi="Google Sans Text"/>
          <w:b w:val="1"/>
          <w:bCs w:val="1"/>
          <w:color w:val="1f1f1f"/>
          <w:rtl w:val="0"/>
        </w:rPr>
        <w:t xml:space="preserve">52% of market share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Westpac (WBC):</w:t>
      </w:r>
      <w:r w:rsidDel="00000000" w:rsidR="00000000" w:rsidRPr="00000000">
        <w:rPr>
          <w:rFonts w:ascii="Google Sans Text" w:cs="Google Sans Text" w:eastAsia="Google Sans Text" w:hAnsi="Google Sans Text"/>
          <w:color w:val="1f1f1f"/>
          <w:rtl w:val="0"/>
        </w:rPr>
        <w:t xml:space="preserve"> The "aggressive follower" in the mortgage space, Westpac reported a total residential mortgage balance of </w:t>
      </w:r>
      <w:r w:rsidDel="00000000" w:rsidR="00000000" w:rsidRPr="00000000">
        <w:rPr>
          <w:rFonts w:ascii="Google Sans Text" w:cs="Google Sans Text" w:eastAsia="Google Sans Text" w:hAnsi="Google Sans Text"/>
          <w:b w:val="1"/>
          <w:bCs w:val="1"/>
          <w:color w:val="1f1f1f"/>
          <w:rtl w:val="0"/>
        </w:rPr>
        <w:t xml:space="preserve">$497 billion</w:t>
      </w:r>
      <w:r w:rsidDel="00000000" w:rsidR="00000000" w:rsidRPr="00000000">
        <w:rPr>
          <w:rFonts w:ascii="Google Sans Text" w:cs="Google Sans Text" w:eastAsia="Google Sans Text" w:hAnsi="Google Sans Text"/>
          <w:color w:val="1f1f1f"/>
          <w:rtl w:val="0"/>
        </w:rPr>
        <w:t xml:space="preserve"> (excluding the RAMS portfolio) for FY25.</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In contrast, its business lending portfolio stood at just </w:t>
      </w:r>
      <w:r w:rsidDel="00000000" w:rsidR="00000000" w:rsidRPr="00000000">
        <w:rPr>
          <w:rFonts w:ascii="Google Sans Text" w:cs="Google Sans Text" w:eastAsia="Google Sans Text" w:hAnsi="Google Sans Text"/>
          <w:b w:val="1"/>
          <w:bCs w:val="1"/>
          <w:color w:val="1f1f1f"/>
          <w:rtl w:val="0"/>
        </w:rPr>
        <w:t xml:space="preserve">$115 billion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mortgage book is more than four times the size of its business lending book, confirming its functional status as a housing hedge fund.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National Australia Bank (NAB):</w:t>
      </w:r>
      <w:r w:rsidDel="00000000" w:rsidR="00000000" w:rsidRPr="00000000">
        <w:rPr>
          <w:rFonts w:ascii="Google Sans Text" w:cs="Google Sans Text" w:eastAsia="Google Sans Text" w:hAnsi="Google Sans Text"/>
          <w:color w:val="1f1f1f"/>
          <w:rtl w:val="0"/>
        </w:rPr>
        <w:t xml:space="preserve"> Historically branded as the "business bank," NAB has not escaped the gravitational pull of the housing wager. In FY25, its Personal Banking division alone held </w:t>
      </w:r>
      <w:r w:rsidDel="00000000" w:rsidR="00000000" w:rsidRPr="00000000">
        <w:rPr>
          <w:rFonts w:ascii="Google Sans Text" w:cs="Google Sans Text" w:eastAsia="Google Sans Text" w:hAnsi="Google Sans Text"/>
          <w:b w:val="1"/>
          <w:bCs w:val="1"/>
          <w:color w:val="1f1f1f"/>
          <w:rtl w:val="0"/>
        </w:rPr>
        <w:t xml:space="preserve">$254.7 billion</w:t>
      </w:r>
      <w:r w:rsidDel="00000000" w:rsidR="00000000" w:rsidRPr="00000000">
        <w:rPr>
          <w:rFonts w:ascii="Google Sans Text" w:cs="Google Sans Text" w:eastAsia="Google Sans Text" w:hAnsi="Google Sans Text"/>
          <w:color w:val="1f1f1f"/>
          <w:rtl w:val="0"/>
        </w:rPr>
        <w:t xml:space="preserve"> in housing lending, while total housing lending across the group increased by </w:t>
      </w:r>
      <w:r w:rsidDel="00000000" w:rsidR="00000000" w:rsidRPr="00000000">
        <w:rPr>
          <w:rFonts w:ascii="Google Sans Text" w:cs="Google Sans Text" w:eastAsia="Google Sans Text" w:hAnsi="Google Sans Text"/>
          <w:b w:val="1"/>
          <w:bCs w:val="1"/>
          <w:color w:val="1f1f1f"/>
          <w:rtl w:val="0"/>
        </w:rPr>
        <w:t xml:space="preserve">$19.8 billion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ANZ:</w:t>
      </w:r>
      <w:r w:rsidDel="00000000" w:rsidR="00000000" w:rsidRPr="00000000">
        <w:rPr>
          <w:rFonts w:ascii="Google Sans Text" w:cs="Google Sans Text" w:eastAsia="Google Sans Text" w:hAnsi="Google Sans Text"/>
          <w:color w:val="1f1f1f"/>
          <w:rtl w:val="0"/>
        </w:rPr>
        <w:t xml:space="preserve"> As of September 2025, the Australia Retail division alone holds </w:t>
      </w:r>
      <w:r w:rsidDel="00000000" w:rsidR="00000000" w:rsidRPr="00000000">
        <w:rPr>
          <w:rFonts w:ascii="Google Sans Text" w:cs="Google Sans Text" w:eastAsia="Google Sans Text" w:hAnsi="Google Sans Text"/>
          <w:b w:val="1"/>
          <w:bCs w:val="1"/>
          <w:color w:val="1f1f1f"/>
          <w:rtl w:val="0"/>
        </w:rPr>
        <w:t xml:space="preserve">$344 billion</w:t>
      </w:r>
      <w:r w:rsidDel="00000000" w:rsidR="00000000" w:rsidRPr="00000000">
        <w:rPr>
          <w:rFonts w:ascii="Google Sans Text" w:cs="Google Sans Text" w:eastAsia="Google Sans Text" w:hAnsi="Google Sans Text"/>
          <w:color w:val="1f1f1f"/>
          <w:rtl w:val="0"/>
        </w:rPr>
        <w:t xml:space="preserve"> in home loans, compared to just </w:t>
      </w:r>
      <w:r w:rsidDel="00000000" w:rsidR="00000000" w:rsidRPr="00000000">
        <w:rPr>
          <w:rFonts w:ascii="Google Sans Text" w:cs="Google Sans Text" w:eastAsia="Google Sans Text" w:hAnsi="Google Sans Text"/>
          <w:b w:val="1"/>
          <w:bCs w:val="1"/>
          <w:color w:val="1f1f1f"/>
          <w:rtl w:val="0"/>
        </w:rPr>
        <w:t xml:space="preserve">$67 billion</w:t>
      </w:r>
      <w:r w:rsidDel="00000000" w:rsidR="00000000" w:rsidRPr="00000000">
        <w:rPr>
          <w:rFonts w:ascii="Google Sans Text" w:cs="Google Sans Text" w:eastAsia="Google Sans Text" w:hAnsi="Google Sans Text"/>
          <w:color w:val="1f1f1f"/>
          <w:rtl w:val="0"/>
        </w:rPr>
        <w:t xml:space="preserve"> in the Australia Business &amp; Private Bank division.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International Risk Context:</w:t>
      </w:r>
      <w:r w:rsidDel="00000000" w:rsidR="00000000" w:rsidRPr="00000000">
        <w:rPr>
          <w:rFonts w:ascii="Google Sans Text" w:cs="Google Sans Text" w:eastAsia="Google Sans Text" w:hAnsi="Google Sans Text"/>
          <w:color w:val="1f1f1f"/>
          <w:rtl w:val="0"/>
        </w:rPr>
        <w:t xml:space="preserve"> The International Monetary Fund (IMF) has explicitly identified "Housing" and "Housing prices" as primary risk factors in its 2024 Article IV Consultation, highlighting "upside inflation risk" in the sector as a vulnerability unique to the Australian context.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Leverage Trap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existential threat to the Australian economy lies not merely in the concentration of these loans, but in the extreme leverage used to fund them. Banks operate on thin slivers of equity, creating a structural "Insolvency Trigger."</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The Equity Multiplier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banks cite "strong capital positions" based on Common Equity Tier 1 (CET1) ratios, their </w:t>
      </w:r>
      <w:r w:rsidDel="00000000" w:rsidR="00000000" w:rsidRPr="00000000">
        <w:rPr>
          <w:rFonts w:ascii="Google Sans Text" w:cs="Google Sans Text" w:eastAsia="Google Sans Text" w:hAnsi="Google Sans Text"/>
          <w:i w:val="1"/>
          <w:iCs w:val="1"/>
          <w:color w:val="1f1f1f"/>
          <w:rtl w:val="0"/>
        </w:rPr>
        <w:t xml:space="preserve">actual</w:t>
      </w:r>
      <w:r w:rsidDel="00000000" w:rsidR="00000000" w:rsidRPr="00000000">
        <w:rPr>
          <w:rFonts w:ascii="Google Sans Text" w:cs="Google Sans Text" w:eastAsia="Google Sans Text" w:hAnsi="Google Sans Text"/>
          <w:color w:val="1f1f1f"/>
          <w:rtl w:val="0"/>
        </w:rPr>
        <w:t xml:space="preserve"> leverage ratio (Tier 1 Capital as a percentage of total exposures) reveals the true extent of the leverage.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Reported Leverage Ratios (2025):</w:t>
      </w:r>
    </w:p>
    <w:p w:rsidR="00000000" w:rsidDel="00000000" w:rsidP="00000000" w:rsidRDefault="00000000" w:rsidRPr="00000000" w14:paraId="0000001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Commonwealth Bank (CBA):</w:t>
      </w:r>
      <w:r w:rsidDel="00000000" w:rsidR="00000000" w:rsidRPr="00000000">
        <w:rPr>
          <w:rFonts w:ascii="Google Sans Text" w:cs="Google Sans Text" w:eastAsia="Google Sans Text" w:hAnsi="Google Sans Text"/>
          <w:color w:val="1f1f1f"/>
          <w:rtl w:val="0"/>
        </w:rPr>
        <w:t xml:space="preserve"> Reported a leverage ratio of </w:t>
      </w:r>
      <w:r w:rsidDel="00000000" w:rsidR="00000000" w:rsidRPr="00000000">
        <w:rPr>
          <w:rFonts w:ascii="Google Sans Text" w:cs="Google Sans Text" w:eastAsia="Google Sans Text" w:hAnsi="Google Sans Text"/>
          <w:b w:val="1"/>
          <w:bCs w:val="1"/>
          <w:color w:val="1f1f1f"/>
          <w:rtl w:val="0"/>
        </w:rPr>
        <w:t xml:space="preserve">4.7%</w:t>
      </w:r>
      <w:r w:rsidDel="00000000" w:rsidR="00000000" w:rsidRPr="00000000">
        <w:rPr>
          <w:rFonts w:ascii="Google Sans Text" w:cs="Google Sans Text" w:eastAsia="Google Sans Text" w:hAnsi="Google Sans Text"/>
          <w:color w:val="1f1f1f"/>
          <w:rtl w:val="0"/>
        </w:rPr>
        <w:t xml:space="preserve"> as of June 2025.</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Westpac (WBC):</w:t>
      </w:r>
      <w:r w:rsidDel="00000000" w:rsidR="00000000" w:rsidRPr="00000000">
        <w:rPr>
          <w:rFonts w:ascii="Google Sans Text" w:cs="Google Sans Text" w:eastAsia="Google Sans Text" w:hAnsi="Google Sans Text"/>
          <w:color w:val="1f1f1f"/>
          <w:rtl w:val="0"/>
        </w:rPr>
        <w:t xml:space="preserve"> Reported a leverage ratio of </w:t>
      </w:r>
      <w:r w:rsidDel="00000000" w:rsidR="00000000" w:rsidRPr="00000000">
        <w:rPr>
          <w:rFonts w:ascii="Google Sans Text" w:cs="Google Sans Text" w:eastAsia="Google Sans Text" w:hAnsi="Google Sans Text"/>
          <w:b w:val="1"/>
          <w:bCs w:val="1"/>
          <w:color w:val="1f1f1f"/>
          <w:rtl w:val="0"/>
        </w:rPr>
        <w:t xml:space="preserve">5.30%</w:t>
      </w:r>
      <w:r w:rsidDel="00000000" w:rsidR="00000000" w:rsidRPr="00000000">
        <w:rPr>
          <w:rFonts w:ascii="Google Sans Text" w:cs="Google Sans Text" w:eastAsia="Google Sans Text" w:hAnsi="Google Sans Text"/>
          <w:color w:val="1f1f1f"/>
          <w:rtl w:val="0"/>
        </w:rPr>
        <w:t xml:space="preserve"> in its 2024 Annual Report.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National Australia Bank (NAB):</w:t>
      </w:r>
      <w:r w:rsidDel="00000000" w:rsidR="00000000" w:rsidRPr="00000000">
        <w:rPr>
          <w:rFonts w:ascii="Google Sans Text" w:cs="Google Sans Text" w:eastAsia="Google Sans Text" w:hAnsi="Google Sans Text"/>
          <w:color w:val="1f1f1f"/>
          <w:rtl w:val="0"/>
        </w:rPr>
        <w:t xml:space="preserve"> Reported a leverage ratio of </w:t>
      </w:r>
      <w:r w:rsidDel="00000000" w:rsidR="00000000" w:rsidRPr="00000000">
        <w:rPr>
          <w:rFonts w:ascii="Google Sans Text" w:cs="Google Sans Text" w:eastAsia="Google Sans Text" w:hAnsi="Google Sans Text"/>
          <w:b w:val="1"/>
          <w:bCs w:val="1"/>
          <w:color w:val="1f1f1f"/>
          <w:rtl w:val="0"/>
        </w:rPr>
        <w:t xml:space="preserve">4.92%</w:t>
      </w:r>
      <w:r w:rsidDel="00000000" w:rsidR="00000000" w:rsidRPr="00000000">
        <w:rPr>
          <w:rFonts w:ascii="Google Sans Text" w:cs="Google Sans Text" w:eastAsia="Google Sans Text" w:hAnsi="Google Sans Text"/>
          <w:color w:val="1f1f1f"/>
          <w:rtl w:val="0"/>
        </w:rPr>
        <w:t xml:space="preserve"> as of September 2025.</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Multiplier Effect:</w:t>
      </w:r>
      <w:r w:rsidDel="00000000" w:rsidR="00000000" w:rsidRPr="00000000">
        <w:rPr>
          <w:rFonts w:ascii="Google Sans Text" w:cs="Google Sans Text" w:eastAsia="Google Sans Text" w:hAnsi="Google Sans Text"/>
          <w:color w:val="1f1f1f"/>
          <w:rtl w:val="0"/>
        </w:rPr>
        <w:t xml:space="preserve"> A leverage ratio of roughly 5% implies a multiplier of </w:t>
      </w:r>
      <w:r w:rsidDel="00000000" w:rsidR="00000000" w:rsidRPr="00000000">
        <w:rPr>
          <w:rFonts w:ascii="Google Sans Text" w:cs="Google Sans Text" w:eastAsia="Google Sans Text" w:hAnsi="Google Sans Text"/>
          <w:b w:val="1"/>
          <w:bCs w:val="1"/>
          <w:color w:val="1f1f1f"/>
          <w:rtl w:val="0"/>
        </w:rPr>
        <w:t xml:space="preserve">20x</w:t>
      </w:r>
      <w:r w:rsidDel="00000000" w:rsidR="00000000" w:rsidRPr="00000000">
        <w:rPr>
          <w:rFonts w:ascii="Google Sans Text" w:cs="Google Sans Text" w:eastAsia="Google Sans Text" w:hAnsi="Google Sans Text"/>
          <w:color w:val="1f1f1f"/>
          <w:rtl w:val="0"/>
        </w:rPr>
        <w:t xml:space="preserve">. For every </w:t>
      </w:r>
      <w:r w:rsidDel="00000000" w:rsidR="00000000" w:rsidRPr="00000000">
        <w:rPr>
          <w:rFonts w:ascii="Google Sans Text" w:cs="Google Sans Text" w:eastAsia="Google Sans Text" w:hAnsi="Google Sans Text"/>
          <w:b w:val="1"/>
          <w:bCs w:val="1"/>
          <w:color w:val="1f1f1f"/>
          <w:rtl w:val="0"/>
        </w:rPr>
        <w:t xml:space="preserve">$1</w:t>
      </w:r>
      <w:r w:rsidDel="00000000" w:rsidR="00000000" w:rsidRPr="00000000">
        <w:rPr>
          <w:rFonts w:ascii="Google Sans Text" w:cs="Google Sans Text" w:eastAsia="Google Sans Text" w:hAnsi="Google Sans Text"/>
          <w:color w:val="1f1f1f"/>
          <w:rtl w:val="0"/>
        </w:rPr>
        <w:t xml:space="preserve"> of shareholder equity the bank holds, it lends out approximately </w:t>
      </w:r>
      <w:r w:rsidDel="00000000" w:rsidR="00000000" w:rsidRPr="00000000">
        <w:rPr>
          <w:rFonts w:ascii="Google Sans Text" w:cs="Google Sans Text" w:eastAsia="Google Sans Text" w:hAnsi="Google Sans Text"/>
          <w:b w:val="1"/>
          <w:bCs w:val="1"/>
          <w:color w:val="1f1f1f"/>
          <w:rtl w:val="0"/>
        </w:rPr>
        <w:t xml:space="preserve">$20</w:t>
      </w:r>
      <w:r w:rsidDel="00000000" w:rsidR="00000000" w:rsidRPr="00000000">
        <w:rPr>
          <w:rFonts w:ascii="Google Sans Text" w:cs="Google Sans Text" w:eastAsia="Google Sans Text" w:hAnsi="Google Sans Text"/>
          <w:color w:val="1f1f1f"/>
          <w:rtl w:val="0"/>
        </w:rPr>
        <w:t xml:space="preserve"> in debt. This extreme leverage is the engine of the "Banking Hostage Crisis." If the value of the collateral (the house) falls by just </w:t>
      </w:r>
      <w:r w:rsidDel="00000000" w:rsidR="00000000" w:rsidRPr="00000000">
        <w:rPr>
          <w:rFonts w:ascii="Google Sans Text" w:cs="Google Sans Text" w:eastAsia="Google Sans Text" w:hAnsi="Google Sans Text"/>
          <w:b w:val="1"/>
          <w:bCs w:val="1"/>
          <w:color w:val="1f1f1f"/>
          <w:rtl w:val="0"/>
        </w:rPr>
        <w:t xml:space="preserve">5%</w:t>
      </w:r>
      <w:r w:rsidDel="00000000" w:rsidR="00000000" w:rsidRPr="00000000">
        <w:rPr>
          <w:rFonts w:ascii="Google Sans Text" w:cs="Google Sans Text" w:eastAsia="Google Sans Text" w:hAnsi="Google Sans Text"/>
          <w:color w:val="1f1f1f"/>
          <w:rtl w:val="0"/>
        </w:rPr>
        <w:t xml:space="preserve">, the equity buffer is theoretically wiped out.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Implication: The Impossibility of Affordability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structural reality of this leverage dictates that "Housing Affordability" is mathematically incompatible with "Bank Solvency." If housing prices were to drop significantly to meet wages, the banking sector's equity would be annihilated by the leverage multiplier. Thus, the government is actively preventing affordability to preserve the banking system.</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Implicit Guarantee: The Unwritten Insurance Policy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Defining the Subsidy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market prices in an </w:t>
      </w:r>
      <w:r w:rsidDel="00000000" w:rsidR="00000000" w:rsidRPr="00000000">
        <w:rPr>
          <w:rFonts w:ascii="Google Sans Text" w:cs="Google Sans Text" w:eastAsia="Google Sans Text" w:hAnsi="Google Sans Text"/>
          <w:b w:val="1"/>
          <w:bCs w:val="1"/>
          <w:color w:val="1f1f1f"/>
          <w:rtl w:val="0"/>
        </w:rPr>
        <w:t xml:space="preserve">"Implicit Guarantee"</w:t>
      </w:r>
      <w:r w:rsidDel="00000000" w:rsidR="00000000" w:rsidRPr="00000000">
        <w:rPr>
          <w:rFonts w:ascii="Google Sans Text" w:cs="Google Sans Text" w:eastAsia="Google Sans Text" w:hAnsi="Google Sans Text"/>
          <w:color w:val="1f1f1f"/>
          <w:rtl w:val="0"/>
        </w:rPr>
        <w:t xml:space="preserve">: the certainty that the Australian Government will bail out the Big Four banks to prevent national collapse. This allows them to borrow funds at rates significantly lower than their risk profile suggests.</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Valuing the Guarantee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Dollar Value:</w:t>
      </w:r>
    </w:p>
    <w:p w:rsidR="00000000" w:rsidDel="00000000" w:rsidP="00000000" w:rsidRDefault="00000000" w:rsidRPr="00000000" w14:paraId="0000002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RBA Estimates:</w:t>
      </w:r>
      <w:r w:rsidDel="00000000" w:rsidR="00000000" w:rsidRPr="00000000">
        <w:rPr>
          <w:rFonts w:ascii="Google Sans Text" w:cs="Google Sans Text" w:eastAsia="Google Sans Text" w:hAnsi="Google Sans Text"/>
          <w:color w:val="1f1f1f"/>
          <w:rtl w:val="0"/>
        </w:rPr>
        <w:t xml:space="preserve"> The Reserve Bank of Australia (RBA), in documents released under Freedom of Information (FOI), estimated this implicit subsidy was worth between </w:t>
      </w:r>
      <w:r w:rsidDel="00000000" w:rsidR="00000000" w:rsidRPr="00000000">
        <w:rPr>
          <w:rFonts w:ascii="Google Sans Text" w:cs="Google Sans Text" w:eastAsia="Google Sans Text" w:hAnsi="Google Sans Text"/>
          <w:b w:val="1"/>
          <w:bCs w:val="1"/>
          <w:color w:val="1f1f1f"/>
          <w:rtl w:val="0"/>
        </w:rPr>
        <w:t xml:space="preserve">$1.9 billion and $3.7 billion</w:t>
      </w:r>
      <w:r w:rsidDel="00000000" w:rsidR="00000000" w:rsidRPr="00000000">
        <w:rPr>
          <w:rFonts w:ascii="Google Sans Text" w:cs="Google Sans Text" w:eastAsia="Google Sans Text" w:hAnsi="Google Sans Text"/>
          <w:color w:val="1f1f1f"/>
          <w:rtl w:val="0"/>
        </w:rPr>
        <w:t xml:space="preserve"> annually as of 2015.</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Current Extrapolations (2025):</w:t>
      </w:r>
      <w:r w:rsidDel="00000000" w:rsidR="00000000" w:rsidRPr="00000000">
        <w:rPr>
          <w:rFonts w:ascii="Google Sans Text" w:cs="Google Sans Text" w:eastAsia="Google Sans Text" w:hAnsi="Google Sans Text"/>
          <w:color w:val="1f1f1f"/>
          <w:rtl w:val="0"/>
        </w:rPr>
        <w:t xml:space="preserve"> Adjusted for the growth of loan books (now exceeding $3.3 trillion collectively across the majors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analysts suggest the true market value of this "insurance premium" could be between </w:t>
      </w:r>
      <w:r w:rsidDel="00000000" w:rsidR="00000000" w:rsidRPr="00000000">
        <w:rPr>
          <w:rFonts w:ascii="Google Sans Text" w:cs="Google Sans Text" w:eastAsia="Google Sans Text" w:hAnsi="Google Sans Text"/>
          <w:b w:val="1"/>
          <w:bCs w:val="1"/>
          <w:color w:val="1f1f1f"/>
          <w:rtl w:val="0"/>
        </w:rPr>
        <w:t xml:space="preserve">$5 billion and $10 billion</w:t>
      </w:r>
      <w:r w:rsidDel="00000000" w:rsidR="00000000" w:rsidRPr="00000000">
        <w:rPr>
          <w:rFonts w:ascii="Google Sans Text" w:cs="Google Sans Text" w:eastAsia="Google Sans Text" w:hAnsi="Google Sans Text"/>
          <w:color w:val="1f1f1f"/>
          <w:rtl w:val="0"/>
        </w:rPr>
        <w:t xml:space="preserve"> annually if banks were forced to pay for it.</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Ratings Uplift:</w:t>
      </w:r>
      <w:r w:rsidDel="00000000" w:rsidR="00000000" w:rsidRPr="00000000">
        <w:rPr>
          <w:rFonts w:ascii="Google Sans Text" w:cs="Google Sans Text" w:eastAsia="Google Sans Text" w:hAnsi="Google Sans Text"/>
          <w:color w:val="1f1f1f"/>
          <w:rtl w:val="0"/>
        </w:rPr>
        <w:t xml:space="preserve"> Credit rating agencies provide the major banks with a "two-notch uplift" in their credit ratings solely due to government support expectations.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Government as Re-Insurer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Australian Government functions as the re-insurer of last resort.</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Term Funding Facility (TFF):</w:t>
      </w:r>
      <w:r w:rsidDel="00000000" w:rsidR="00000000" w:rsidRPr="00000000">
        <w:rPr>
          <w:rFonts w:ascii="Google Sans Text" w:cs="Google Sans Text" w:eastAsia="Google Sans Text" w:hAnsi="Google Sans Text"/>
          <w:color w:val="1f1f1f"/>
          <w:rtl w:val="0"/>
        </w:rPr>
        <w:t xml:space="preserve"> During the pandemic, the RBA provided </w:t>
      </w:r>
      <w:r w:rsidDel="00000000" w:rsidR="00000000" w:rsidRPr="00000000">
        <w:rPr>
          <w:rFonts w:ascii="Google Sans Text" w:cs="Google Sans Text" w:eastAsia="Google Sans Text" w:hAnsi="Google Sans Text"/>
          <w:b w:val="1"/>
          <w:bCs w:val="1"/>
          <w:color w:val="1f1f1f"/>
          <w:rtl w:val="0"/>
        </w:rPr>
        <w:t xml:space="preserve">$188 billion</w:t>
      </w:r>
      <w:r w:rsidDel="00000000" w:rsidR="00000000" w:rsidRPr="00000000">
        <w:rPr>
          <w:rFonts w:ascii="Google Sans Text" w:cs="Google Sans Text" w:eastAsia="Google Sans Text" w:hAnsi="Google Sans Text"/>
          <w:color w:val="1f1f1f"/>
          <w:rtl w:val="0"/>
        </w:rPr>
        <w:t xml:space="preserve"> in cheap, three-year fixed-rate funding to the banks. The cost of this facility to the public purse—manifesting as realized losses on the RBA's balance sheet—is estimated at </w:t>
      </w:r>
      <w:r w:rsidDel="00000000" w:rsidR="00000000" w:rsidRPr="00000000">
        <w:rPr>
          <w:rFonts w:ascii="Google Sans Text" w:cs="Google Sans Text" w:eastAsia="Google Sans Text" w:hAnsi="Google Sans Text"/>
          <w:b w:val="1"/>
          <w:bCs w:val="1"/>
          <w:color w:val="1f1f1f"/>
          <w:rtl w:val="0"/>
        </w:rPr>
        <w:t xml:space="preserve">$9 billion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was a direct transfer of public wealth to bank balance sheets to maintain the credit flow to housing.</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Policy as Collateral Management: The Mechanics of the Floor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banks are the engine of risk, government policy is the mechanism used to manage that risk. Policies are calculated measures to support the value of bank collateral.</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Immigration: The Demand Floor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potent tool for maintaining house prices is the manipulation of demand through Net Overseas Migration (NOM).</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The Volume Injection</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Record Intakes:</w:t>
      </w:r>
      <w:r w:rsidDel="00000000" w:rsidR="00000000" w:rsidRPr="00000000">
        <w:rPr>
          <w:rFonts w:ascii="Google Sans Text" w:cs="Google Sans Text" w:eastAsia="Google Sans Text" w:hAnsi="Google Sans Text"/>
          <w:color w:val="1f1f1f"/>
          <w:rtl w:val="0"/>
        </w:rPr>
        <w:t xml:space="preserve"> Australian Bureau of Statistics (ABS) data confirms record migration flows. In the 12 months to May 2025, net permanent and long-term arrivals reached </w:t>
      </w:r>
      <w:r w:rsidDel="00000000" w:rsidR="00000000" w:rsidRPr="00000000">
        <w:rPr>
          <w:rFonts w:ascii="Google Sans Text" w:cs="Google Sans Text" w:eastAsia="Google Sans Text" w:hAnsi="Google Sans Text"/>
          <w:b w:val="1"/>
          <w:bCs w:val="1"/>
          <w:color w:val="1f1f1f"/>
          <w:rtl w:val="0"/>
        </w:rPr>
        <w:t xml:space="preserve">447,620</w:t>
      </w:r>
      <w:r w:rsidDel="00000000" w:rsidR="00000000" w:rsidRPr="00000000">
        <w:rPr>
          <w:rFonts w:ascii="Google Sans Text" w:cs="Google Sans Text" w:eastAsia="Google Sans Text" w:hAnsi="Google Sans Text"/>
          <w:color w:val="1f1f1f"/>
          <w:rtl w:val="0"/>
        </w:rPr>
        <w:t xml:space="preserve">, following a record </w:t>
      </w:r>
      <w:r w:rsidDel="00000000" w:rsidR="00000000" w:rsidRPr="00000000">
        <w:rPr>
          <w:rFonts w:ascii="Google Sans Text" w:cs="Google Sans Text" w:eastAsia="Google Sans Text" w:hAnsi="Google Sans Text"/>
          <w:b w:val="1"/>
          <w:bCs w:val="1"/>
          <w:color w:val="1f1f1f"/>
          <w:rtl w:val="0"/>
        </w:rPr>
        <w:t xml:space="preserve">482,450</w:t>
      </w:r>
      <w:r w:rsidDel="00000000" w:rsidR="00000000" w:rsidRPr="00000000">
        <w:rPr>
          <w:rFonts w:ascii="Google Sans Text" w:cs="Google Sans Text" w:eastAsia="Google Sans Text" w:hAnsi="Google Sans Text"/>
          <w:color w:val="1f1f1f"/>
          <w:rtl w:val="0"/>
        </w:rPr>
        <w:t xml:space="preserve"> in the previous year.</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Floor Strategy:</w:t>
      </w:r>
      <w:r w:rsidDel="00000000" w:rsidR="00000000" w:rsidRPr="00000000">
        <w:rPr>
          <w:rFonts w:ascii="Google Sans Text" w:cs="Google Sans Text" w:eastAsia="Google Sans Text" w:hAnsi="Google Sans Text"/>
          <w:color w:val="1f1f1f"/>
          <w:rtl w:val="0"/>
        </w:rPr>
        <w:t xml:space="preserve"> This influx creates an immediate, inelastic demand for shelter. With housing supply targets failing to be met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this creates a "floor" under housing prices and rents, ensuring vacancy rates remain near zero and supporting the Loan-to-Value Ratios (LVR) of the mortgage books held by the Big Four.</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Political Commentary:</w:t>
      </w:r>
      <w:r w:rsidDel="00000000" w:rsidR="00000000" w:rsidRPr="00000000">
        <w:rPr>
          <w:rFonts w:ascii="Google Sans Text" w:cs="Google Sans Text" w:eastAsia="Google Sans Text" w:hAnsi="Google Sans Text"/>
          <w:color w:val="1f1f1f"/>
          <w:rtl w:val="0"/>
        </w:rPr>
        <w:t xml:space="preserve"> Institute of Public Affairs (IPA) analysis notes that these "out-of-control migration intakes" are exacerbating the rental crisis, yet the policy persists as it is essential for the collateral maintenance of the banking sector.</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Negative Gearing &amp; Grants: Liquidity Providers</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Gearing:</w:t>
      </w:r>
      <w:r w:rsidDel="00000000" w:rsidR="00000000" w:rsidRPr="00000000">
        <w:rPr>
          <w:rFonts w:ascii="Google Sans Text" w:cs="Google Sans Text" w:eastAsia="Google Sans Text" w:hAnsi="Google Sans Text"/>
          <w:color w:val="1f1f1f"/>
          <w:rtl w:val="0"/>
        </w:rPr>
        <w:t xml:space="preserve"> Research presented to the RBA suggests that abolishing negative gearing would lead to a welfare gain of 1.5% of GDP and lower house prices by approximately 1.2%.</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The policy is maintained to keep investors active, ensuring the collateral remains liquid.</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First Home Owner Grants:</w:t>
      </w:r>
      <w:r w:rsidDel="00000000" w:rsidR="00000000" w:rsidRPr="00000000">
        <w:rPr>
          <w:rFonts w:ascii="Google Sans Text" w:cs="Google Sans Text" w:eastAsia="Google Sans Text" w:hAnsi="Google Sans Text"/>
          <w:color w:val="1f1f1f"/>
          <w:rtl w:val="0"/>
        </w:rPr>
        <w:t xml:space="preserve"> These grants function to feed fresh capital into the market, increasing purchasing power and supporting valuations at the entry level, which propagates upwards.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Feudal Exit Strategy: Corporatizing the Australian Dream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Recognizing the volatility of the individual borrower, the banking sector is executing a strategic pivot: The "Feudal Exit Strategy." This involves shifting lending toward large-scale corporate landlords and "Build-to-Rent" (BTR) initiatives.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Shift to Build-to-Rent (BTR)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Banks are aggressively supporting the BTR sector, where large institutional investors own entire precincts of housing.</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 Concessions:</w:t>
      </w:r>
      <w:r w:rsidDel="00000000" w:rsidR="00000000" w:rsidRPr="00000000">
        <w:rPr>
          <w:rFonts w:ascii="Google Sans Text" w:cs="Google Sans Text" w:eastAsia="Google Sans Text" w:hAnsi="Google Sans Text"/>
          <w:color w:val="1f1f1f"/>
          <w:rtl w:val="0"/>
        </w:rPr>
        <w:t xml:space="preserve"> To facilitate this, the Federal Government has cut the withholding tax rate for Managed Investment Trusts (MITs) in the BTR sector from </w:t>
      </w:r>
      <w:r w:rsidDel="00000000" w:rsidR="00000000" w:rsidRPr="00000000">
        <w:rPr>
          <w:rFonts w:ascii="Google Sans Text" w:cs="Google Sans Text" w:eastAsia="Google Sans Text" w:hAnsi="Google Sans Text"/>
          <w:b w:val="1"/>
          <w:bCs w:val="1"/>
          <w:color w:val="1f1f1f"/>
          <w:rtl w:val="0"/>
        </w:rPr>
        <w:t xml:space="preserve">30% to 15%</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effectively halves the tax bill for foreign corporate landlords.</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Players:</w:t>
      </w:r>
      <w:r w:rsidDel="00000000" w:rsidR="00000000" w:rsidRPr="00000000">
        <w:rPr>
          <w:rFonts w:ascii="Google Sans Text" w:cs="Google Sans Text" w:eastAsia="Google Sans Text" w:hAnsi="Google Sans Text"/>
          <w:color w:val="1f1f1f"/>
          <w:rtl w:val="0"/>
        </w:rPr>
        <w:t xml:space="preserve"> Senate Hansard records explicitly mention firms like </w:t>
      </w:r>
      <w:r w:rsidDel="00000000" w:rsidR="00000000" w:rsidRPr="00000000">
        <w:rPr>
          <w:rFonts w:ascii="Google Sans Text" w:cs="Google Sans Text" w:eastAsia="Google Sans Text" w:hAnsi="Google Sans Text"/>
          <w:b w:val="1"/>
          <w:bCs w:val="1"/>
          <w:color w:val="1f1f1f"/>
          <w:rtl w:val="0"/>
        </w:rPr>
        <w:t xml:space="preserve">BlackRock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Vanguard</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State Street</w:t>
      </w:r>
      <w:r w:rsidDel="00000000" w:rsidR="00000000" w:rsidRPr="00000000">
        <w:rPr>
          <w:rFonts w:ascii="Google Sans Text" w:cs="Google Sans Text" w:eastAsia="Google Sans Text" w:hAnsi="Google Sans Text"/>
          <w:color w:val="1f1f1f"/>
          <w:rtl w:val="0"/>
        </w:rPr>
        <w:t xml:space="preserve"> in the context of these tax concessions, with Senator Malcolm Roberts warning of a future where Australians live in "shoebox apartments paying rent to BlackRock forever".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Institutional Activity:</w:t>
      </w:r>
      <w:r w:rsidDel="00000000" w:rsidR="00000000" w:rsidRPr="00000000">
        <w:rPr>
          <w:rFonts w:ascii="Google Sans Text" w:cs="Google Sans Text" w:eastAsia="Google Sans Text" w:hAnsi="Google Sans Text"/>
          <w:color w:val="1f1f1f"/>
          <w:rtl w:val="0"/>
        </w:rPr>
        <w:t xml:space="preserve"> Major global players like </w:t>
      </w:r>
      <w:r w:rsidDel="00000000" w:rsidR="00000000" w:rsidRPr="00000000">
        <w:rPr>
          <w:rFonts w:ascii="Google Sans Text" w:cs="Google Sans Text" w:eastAsia="Google Sans Text" w:hAnsi="Google Sans Text"/>
          <w:b w:val="1"/>
          <w:bCs w:val="1"/>
          <w:color w:val="1f1f1f"/>
          <w:rtl w:val="0"/>
        </w:rPr>
        <w:t xml:space="preserve">Greystar</w:t>
      </w:r>
      <w:r w:rsidDel="00000000" w:rsidR="00000000" w:rsidRPr="00000000">
        <w:rPr>
          <w:rFonts w:ascii="Google Sans Text" w:cs="Google Sans Text" w:eastAsia="Google Sans Text" w:hAnsi="Google Sans Text"/>
          <w:color w:val="1f1f1f"/>
          <w:rtl w:val="0"/>
        </w:rPr>
        <w:t xml:space="preserve"> (partnered with pension funds) and </w:t>
      </w:r>
      <w:r w:rsidDel="00000000" w:rsidR="00000000" w:rsidRPr="00000000">
        <w:rPr>
          <w:rFonts w:ascii="Google Sans Text" w:cs="Google Sans Text" w:eastAsia="Google Sans Text" w:hAnsi="Google Sans Text"/>
          <w:b w:val="1"/>
          <w:bCs w:val="1"/>
          <w:color w:val="1f1f1f"/>
          <w:rtl w:val="0"/>
        </w:rPr>
        <w:t xml:space="preserve">AustralianSuper</w:t>
      </w:r>
      <w:r w:rsidDel="00000000" w:rsidR="00000000" w:rsidRPr="00000000">
        <w:rPr>
          <w:rFonts w:ascii="Google Sans Text" w:cs="Google Sans Text" w:eastAsia="Google Sans Text" w:hAnsi="Google Sans Text"/>
          <w:color w:val="1f1f1f"/>
          <w:rtl w:val="0"/>
        </w:rPr>
        <w:t xml:space="preserve"> are actively deploying billions into BTR projects in Melbourne and Sydney to create permanent rental assets.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Implication: The Permanent Rental Class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strategy cements a transition to a "corporate feudalism" where housing shifts from a personal asset to a corporate yield vehicle. The wealth generated by housing flows to institutional shareholders rather than Australian families, with the banking sector securing "unbreakable yields" from corporate borrowers rather than struggling individuals.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Case Studies: The Big Four's Exposure Profile (2025)</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Commonwealth Bank (CBA)</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Exposure:</w:t>
      </w:r>
      <w:r w:rsidDel="00000000" w:rsidR="00000000" w:rsidRPr="00000000">
        <w:rPr>
          <w:rFonts w:ascii="Google Sans Text" w:cs="Google Sans Text" w:eastAsia="Google Sans Text" w:hAnsi="Google Sans Text"/>
          <w:color w:val="1f1f1f"/>
          <w:rtl w:val="0"/>
        </w:rPr>
        <w:t xml:space="preserve"> Holds the largest concentration of residential risk with </w:t>
      </w:r>
      <w:r w:rsidDel="00000000" w:rsidR="00000000" w:rsidRPr="00000000">
        <w:rPr>
          <w:rFonts w:ascii="Google Sans Text" w:cs="Google Sans Text" w:eastAsia="Google Sans Text" w:hAnsi="Google Sans Text"/>
          <w:b w:val="1"/>
          <w:bCs w:val="1"/>
          <w:color w:val="1f1f1f"/>
          <w:rtl w:val="0"/>
        </w:rPr>
        <w:t xml:space="preserve">$523 billion</w:t>
      </w:r>
      <w:r w:rsidDel="00000000" w:rsidR="00000000" w:rsidRPr="00000000">
        <w:rPr>
          <w:rFonts w:ascii="Google Sans Text" w:cs="Google Sans Text" w:eastAsia="Google Sans Text" w:hAnsi="Google Sans Text"/>
          <w:color w:val="1f1f1f"/>
          <w:rtl w:val="0"/>
        </w:rPr>
        <w:t xml:space="preserve"> in mortgages as of June 2025.</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Leverage:</w:t>
      </w:r>
      <w:r w:rsidDel="00000000" w:rsidR="00000000" w:rsidRPr="00000000">
        <w:rPr>
          <w:rFonts w:ascii="Google Sans Text" w:cs="Google Sans Text" w:eastAsia="Google Sans Text" w:hAnsi="Google Sans Text"/>
          <w:color w:val="1f1f1f"/>
          <w:rtl w:val="0"/>
        </w:rPr>
        <w:t xml:space="preserve"> Operating with a leverage ratio of </w:t>
      </w:r>
      <w:r w:rsidDel="00000000" w:rsidR="00000000" w:rsidRPr="00000000">
        <w:rPr>
          <w:rFonts w:ascii="Google Sans Text" w:cs="Google Sans Text" w:eastAsia="Google Sans Text" w:hAnsi="Google Sans Text"/>
          <w:b w:val="1"/>
          <w:bCs w:val="1"/>
          <w:color w:val="1f1f1f"/>
          <w:rtl w:val="0"/>
        </w:rPr>
        <w:t xml:space="preserve">4.7%</w:t>
      </w:r>
      <w:r w:rsidDel="00000000" w:rsidR="00000000" w:rsidRPr="00000000">
        <w:rPr>
          <w:rFonts w:ascii="Google Sans Text" w:cs="Google Sans Text" w:eastAsia="Google Sans Text" w:hAnsi="Google Sans Text"/>
          <w:color w:val="1f1f1f"/>
          <w:rtl w:val="0"/>
        </w:rPr>
        <w:t xml:space="preserve">, implying significant sensitivity to asset valuation declines.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Heavily reliant on the proprietary channel, which accounted for </w:t>
      </w:r>
      <w:r w:rsidDel="00000000" w:rsidR="00000000" w:rsidRPr="00000000">
        <w:rPr>
          <w:rFonts w:ascii="Google Sans Text" w:cs="Google Sans Text" w:eastAsia="Google Sans Text" w:hAnsi="Google Sans Text"/>
          <w:b w:val="1"/>
          <w:bCs w:val="1"/>
          <w:color w:val="1f1f1f"/>
          <w:rtl w:val="0"/>
        </w:rPr>
        <w:t xml:space="preserve">66%</w:t>
      </w:r>
      <w:r w:rsidDel="00000000" w:rsidR="00000000" w:rsidRPr="00000000">
        <w:rPr>
          <w:rFonts w:ascii="Google Sans Text" w:cs="Google Sans Text" w:eastAsia="Google Sans Text" w:hAnsi="Google Sans Text"/>
          <w:color w:val="1f1f1f"/>
          <w:rtl w:val="0"/>
        </w:rPr>
        <w:t xml:space="preserve"> of home lending flow in FY25.</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Westpac (WBC)</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Exposure:</w:t>
      </w:r>
      <w:r w:rsidDel="00000000" w:rsidR="00000000" w:rsidRPr="00000000">
        <w:rPr>
          <w:rFonts w:ascii="Google Sans Text" w:cs="Google Sans Text" w:eastAsia="Google Sans Text" w:hAnsi="Google Sans Text"/>
          <w:color w:val="1f1f1f"/>
          <w:rtl w:val="0"/>
        </w:rPr>
        <w:t xml:space="preserve"> Mortgage book of </w:t>
      </w:r>
      <w:r w:rsidDel="00000000" w:rsidR="00000000" w:rsidRPr="00000000">
        <w:rPr>
          <w:rFonts w:ascii="Google Sans Text" w:cs="Google Sans Text" w:eastAsia="Google Sans Text" w:hAnsi="Google Sans Text"/>
          <w:b w:val="1"/>
          <w:bCs w:val="1"/>
          <w:color w:val="1f1f1f"/>
          <w:rtl w:val="0"/>
        </w:rPr>
        <w:t xml:space="preserve">$497 billion</w:t>
      </w:r>
      <w:r w:rsidDel="00000000" w:rsidR="00000000" w:rsidRPr="00000000">
        <w:rPr>
          <w:rFonts w:ascii="Google Sans Text" w:cs="Google Sans Text" w:eastAsia="Google Sans Text" w:hAnsi="Google Sans Text"/>
          <w:color w:val="1f1f1f"/>
          <w:rtl w:val="0"/>
        </w:rPr>
        <w:t xml:space="preserve"> vs. business lending of $115 billion. The ratio confirms it is functionally a housing hedge fund.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Leverage:</w:t>
      </w:r>
      <w:r w:rsidDel="00000000" w:rsidR="00000000" w:rsidRPr="00000000">
        <w:rPr>
          <w:rFonts w:ascii="Google Sans Text" w:cs="Google Sans Text" w:eastAsia="Google Sans Text" w:hAnsi="Google Sans Text"/>
          <w:color w:val="1f1f1f"/>
          <w:rtl w:val="0"/>
        </w:rPr>
        <w:t xml:space="preserve"> Reported a leverage ratio of </w:t>
      </w:r>
      <w:r w:rsidDel="00000000" w:rsidR="00000000" w:rsidRPr="00000000">
        <w:rPr>
          <w:rFonts w:ascii="Google Sans Text" w:cs="Google Sans Text" w:eastAsia="Google Sans Text" w:hAnsi="Google Sans Text"/>
          <w:b w:val="1"/>
          <w:bCs w:val="1"/>
          <w:color w:val="1f1f1f"/>
          <w:rtl w:val="0"/>
        </w:rPr>
        <w:t xml:space="preserve">5.30%</w:t>
      </w:r>
      <w:r w:rsidDel="00000000" w:rsidR="00000000" w:rsidRPr="00000000">
        <w:rPr>
          <w:rFonts w:ascii="Google Sans Text" w:cs="Google Sans Text" w:eastAsia="Google Sans Text" w:hAnsi="Google Sans Text"/>
          <w:color w:val="1f1f1f"/>
          <w:rtl w:val="0"/>
        </w:rPr>
        <w:t xml:space="preserve"> in its 2024 Annual Report.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National Australia Bank (NAB)</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Exposure:</w:t>
      </w:r>
      <w:r w:rsidDel="00000000" w:rsidR="00000000" w:rsidRPr="00000000">
        <w:rPr>
          <w:rFonts w:ascii="Google Sans Text" w:cs="Google Sans Text" w:eastAsia="Google Sans Text" w:hAnsi="Google Sans Text"/>
          <w:color w:val="1f1f1f"/>
          <w:rtl w:val="0"/>
        </w:rPr>
        <w:t xml:space="preserve"> Despite its "business bank" branding, housing lending increased by $19.8 billion in FY25. Personal Banking housing lending stands at </w:t>
      </w:r>
      <w:r w:rsidDel="00000000" w:rsidR="00000000" w:rsidRPr="00000000">
        <w:rPr>
          <w:rFonts w:ascii="Google Sans Text" w:cs="Google Sans Text" w:eastAsia="Google Sans Text" w:hAnsi="Google Sans Text"/>
          <w:b w:val="1"/>
          <w:bCs w:val="1"/>
          <w:color w:val="1f1f1f"/>
          <w:rtl w:val="0"/>
        </w:rPr>
        <w:t xml:space="preserve">$254.7 billion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Leverage:</w:t>
      </w:r>
      <w:r w:rsidDel="00000000" w:rsidR="00000000" w:rsidRPr="00000000">
        <w:rPr>
          <w:rFonts w:ascii="Google Sans Text" w:cs="Google Sans Text" w:eastAsia="Google Sans Text" w:hAnsi="Google Sans Text"/>
          <w:color w:val="1f1f1f"/>
          <w:rtl w:val="0"/>
        </w:rPr>
        <w:t xml:space="preserve"> Leverage ratio reported at </w:t>
      </w:r>
      <w:r w:rsidDel="00000000" w:rsidR="00000000" w:rsidRPr="00000000">
        <w:rPr>
          <w:rFonts w:ascii="Google Sans Text" w:cs="Google Sans Text" w:eastAsia="Google Sans Text" w:hAnsi="Google Sans Text"/>
          <w:b w:val="1"/>
          <w:bCs w:val="1"/>
          <w:color w:val="1f1f1f"/>
          <w:rtl w:val="0"/>
        </w:rPr>
        <w:t xml:space="preserve">4.92%</w:t>
      </w:r>
      <w:r w:rsidDel="00000000" w:rsidR="00000000" w:rsidRPr="00000000">
        <w:rPr>
          <w:rFonts w:ascii="Google Sans Text" w:cs="Google Sans Text" w:eastAsia="Google Sans Text" w:hAnsi="Google Sans Text"/>
          <w:color w:val="1f1f1f"/>
          <w:rtl w:val="0"/>
        </w:rPr>
        <w:t xml:space="preserve"> as of September 2025.</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ANZ</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Exposure:</w:t>
      </w:r>
      <w:r w:rsidDel="00000000" w:rsidR="00000000" w:rsidRPr="00000000">
        <w:rPr>
          <w:rFonts w:ascii="Google Sans Text" w:cs="Google Sans Text" w:eastAsia="Google Sans Text" w:hAnsi="Google Sans Text"/>
          <w:color w:val="1f1f1f"/>
          <w:rtl w:val="0"/>
        </w:rPr>
        <w:t xml:space="preserve"> Australia Retail home loans sit at </w:t>
      </w:r>
      <w:r w:rsidDel="00000000" w:rsidR="00000000" w:rsidRPr="00000000">
        <w:rPr>
          <w:rFonts w:ascii="Google Sans Text" w:cs="Google Sans Text" w:eastAsia="Google Sans Text" w:hAnsi="Google Sans Text"/>
          <w:b w:val="1"/>
          <w:bCs w:val="1"/>
          <w:color w:val="1f1f1f"/>
          <w:rtl w:val="0"/>
        </w:rPr>
        <w:t xml:space="preserve">$344 billion</w:t>
      </w:r>
      <w:r w:rsidDel="00000000" w:rsidR="00000000" w:rsidRPr="00000000">
        <w:rPr>
          <w:rFonts w:ascii="Google Sans Text" w:cs="Google Sans Text" w:eastAsia="Google Sans Text" w:hAnsi="Google Sans Text"/>
          <w:color w:val="1f1f1f"/>
          <w:rtl w:val="0"/>
        </w:rPr>
        <w:t xml:space="preserve"> as of September 2025.</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Suncorp Acquisition:</w:t>
      </w:r>
      <w:r w:rsidDel="00000000" w:rsidR="00000000" w:rsidRPr="00000000">
        <w:rPr>
          <w:rFonts w:ascii="Google Sans Text" w:cs="Google Sans Text" w:eastAsia="Google Sans Text" w:hAnsi="Google Sans Text"/>
          <w:color w:val="1f1f1f"/>
          <w:rtl w:val="0"/>
        </w:rPr>
        <w:t xml:space="preserve"> The acquisition of Suncorp Bank added another </w:t>
      </w:r>
      <w:r w:rsidDel="00000000" w:rsidR="00000000" w:rsidRPr="00000000">
        <w:rPr>
          <w:rFonts w:ascii="Google Sans Text" w:cs="Google Sans Text" w:eastAsia="Google Sans Text" w:hAnsi="Google Sans Text"/>
          <w:b w:val="1"/>
          <w:bCs w:val="1"/>
          <w:color w:val="1f1f1f"/>
          <w:rtl w:val="0"/>
        </w:rPr>
        <w:t xml:space="preserve">$60 billion</w:t>
      </w:r>
      <w:r w:rsidDel="00000000" w:rsidR="00000000" w:rsidRPr="00000000">
        <w:rPr>
          <w:rFonts w:ascii="Google Sans Text" w:cs="Google Sans Text" w:eastAsia="Google Sans Text" w:hAnsi="Google Sans Text"/>
          <w:color w:val="1f1f1f"/>
          <w:rtl w:val="0"/>
        </w:rPr>
        <w:t xml:space="preserve"> in home loans to the Group's portfolio.</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Strategic Verdict: The Unbreakable Cycle?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"Banking Hostage Crisis" is the defining economic structure of modern Australia. The system is engineered to prevent the one thing required for social health: affordable housing. To fix affordability (lower prices) is to crash the banking system (insolvency). Faced with this binary, the government has chosen bank solvency, paid for by the "Social Bailout" of the citizenry. Unless the banking sector is forcibly de-coupled from residential real estate, the crisis will persist.</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Tables &amp; Data Summary</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The Leverage Reality (Big Four Banks 2024/2025)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Reported Leverage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Implied Asset Multiplier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Exposure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4.7%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Residential Mortgages ($523bn)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Westpac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5.30%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~18.8x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Residential Mortgages ($497bn)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4.92%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Housing Lending (Dominant)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 (Standardized)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Residential Mortgages ($344bn)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bl>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The Migration Floor (Net Overseas Migration)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 Arrivals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Impact on Housing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Year to May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482,450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Record High Demand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Year to May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447,620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Sustained "Floor" under Rents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Budget Forecast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335,000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Exceeded by ~27% (Failure of Planning)</w:t>
            </w:r>
          </w:p>
        </w:tc>
      </w:tr>
    </w:tbl>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The Implicit Subsidy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Valuation of Guarantee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RBA (2015 FOI)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$1.9bn - $3.7bn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Conservative Estimate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Analyst Est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$5bn - $10bn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Adjusted for Book Size &amp; Volatility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TFF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$9bn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Direct Pandemic Subsidy (Realized Loss)</w:t>
            </w:r>
          </w:p>
        </w:tc>
      </w:tr>
    </w:tbl>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into Small and Medium-sized Banks - Council of Financial Regulators, accessed February 4, 2026, </w:t>
      </w:r>
      <w:hyperlink r:id="rId6">
        <w:r w:rsidDel="00000000" w:rsidR="00000000" w:rsidRPr="00000000">
          <w:rPr>
            <w:rFonts w:ascii="Google Sans" w:cs="Google Sans" w:eastAsia="Google Sans" w:hAnsi="Google Sans"/>
            <w:color w:val="0000ee"/>
            <w:sz w:val="24"/>
            <w:szCs w:val="24"/>
            <w:u w:val="single"/>
            <w:rtl w:val="0"/>
          </w:rPr>
          <w:t xml:space="preserve">https://www.cfr.gov.au/publications/consultations/2024/review-into-small-and-medium-sized-banks/review-into-small-and-medium-sized-banks.html</w:t>
        </w:r>
      </w:hyperlink>
      <w:r w:rsidDel="00000000" w:rsidR="00000000" w:rsidRPr="00000000">
        <w:rPr>
          <w:rtl w:val="0"/>
        </w:rPr>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 2024 Article IV Consultation-Press Release; and Staff Report, accessed February 4, 2026, </w:t>
      </w:r>
      <w:hyperlink r:id="rId7">
        <w:r w:rsidDel="00000000" w:rsidR="00000000" w:rsidRPr="00000000">
          <w:rPr>
            <w:rFonts w:ascii="Google Sans" w:cs="Google Sans" w:eastAsia="Google Sans" w:hAnsi="Google Sans"/>
            <w:color w:val="0000ee"/>
            <w:sz w:val="24"/>
            <w:szCs w:val="24"/>
            <w:u w:val="single"/>
            <w:rtl w:val="0"/>
          </w:rPr>
          <w:t xml:space="preserve">https://www.imf.org/en/publications/cr/issues/2024/12/20/australia-2024-article-iv-consultation-press-release-and-staff-report-559811</w:t>
        </w:r>
      </w:hyperlink>
      <w:r w:rsidDel="00000000" w:rsidR="00000000" w:rsidRPr="00000000">
        <w:rPr>
          <w:rtl w:val="0"/>
        </w:rPr>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Hansard - Senate 26/08/2025 Parliament of Australia, accessed February 4, 2026, </w:t>
      </w:r>
      <w:hyperlink r:id="rId8">
        <w:r w:rsidDel="00000000" w:rsidR="00000000" w:rsidRPr="00000000">
          <w:rPr>
            <w:rFonts w:ascii="Google Sans" w:cs="Google Sans" w:eastAsia="Google Sans" w:hAnsi="Google Sans"/>
            <w:color w:val="0000ee"/>
            <w:sz w:val="24"/>
            <w:szCs w:val="24"/>
            <w:u w:val="single"/>
            <w:rtl w:val="0"/>
          </w:rPr>
          <w:t xml:space="preserve">https://www.aph.gov.au/Parliamentary_Business/Hansard/Hansard_Display?bid=chamber/hansards/28834/&amp;sid=0222</w:t>
        </w:r>
      </w:hyperlink>
      <w:r w:rsidDel="00000000" w:rsidR="00000000" w:rsidRPr="00000000">
        <w:rPr>
          <w:rtl w:val="0"/>
        </w:rPr>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Mirvac - Submission in response to: Build-to-rent tax concessions - The Treasury, accessed February 4, 2026, </w:t>
      </w:r>
      <w:hyperlink r:id="rId9">
        <w:r w:rsidDel="00000000" w:rsidR="00000000" w:rsidRPr="00000000">
          <w:rPr>
            <w:rFonts w:ascii="Google Sans" w:cs="Google Sans" w:eastAsia="Google Sans" w:hAnsi="Google Sans"/>
            <w:color w:val="0000ee"/>
            <w:sz w:val="24"/>
            <w:szCs w:val="24"/>
            <w:u w:val="single"/>
            <w:rtl w:val="0"/>
          </w:rPr>
          <w:t xml:space="preserve">https://treasury.gov.au/sites/default/files/2024-05/c2024-487657-mirvac.pdf</w:t>
        </w:r>
      </w:hyperlink>
      <w:r w:rsidDel="00000000" w:rsidR="00000000" w:rsidRPr="00000000">
        <w:rPr>
          <w:rtl w:val="0"/>
        </w:rPr>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CBA 2025 Full Year Results Presentation, accessed February 4, 2026, </w:t>
      </w:r>
      <w:hyperlink r:id="rId10">
        <w:r w:rsidDel="00000000" w:rsidR="00000000" w:rsidRPr="00000000">
          <w:rPr>
            <w:rFonts w:ascii="Google Sans" w:cs="Google Sans" w:eastAsia="Google Sans" w:hAnsi="Google Sans"/>
            <w:color w:val="0000ee"/>
            <w:sz w:val="24"/>
            <w:szCs w:val="24"/>
            <w:u w:val="single"/>
            <w:rtl w:val="0"/>
          </w:rPr>
          <w:t xml:space="preserve">https://www.commbank.com.au/content/dam/commbank-assets/investors/docs/results/fy25/full-year-profit-presentation.pdf</w:t>
        </w:r>
      </w:hyperlink>
      <w:r w:rsidDel="00000000" w:rsidR="00000000" w:rsidRPr="00000000">
        <w:rPr>
          <w:rtl w:val="0"/>
        </w:rPr>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CBA 2025 Annual Report - CommBank, accessed February 4, 2026, </w:t>
      </w:r>
      <w:hyperlink r:id="rId11">
        <w:r w:rsidDel="00000000" w:rsidR="00000000" w:rsidRPr="00000000">
          <w:rPr>
            <w:rFonts w:ascii="Google Sans" w:cs="Google Sans" w:eastAsia="Google Sans" w:hAnsi="Google Sans"/>
            <w:color w:val="0000ee"/>
            <w:sz w:val="24"/>
            <w:szCs w:val="24"/>
            <w:u w:val="single"/>
            <w:rtl w:val="0"/>
          </w:rPr>
          <w:t xml:space="preserve">https://www.commbank.com.au/content/dam/commbank-assets/investors/docs/results/fy25/2025-annual-report.pdf</w:t>
        </w:r>
      </w:hyperlink>
      <w:r w:rsidDel="00000000" w:rsidR="00000000" w:rsidRPr="00000000">
        <w:rPr>
          <w:rtl w:val="0"/>
        </w:rPr>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westpac 2025 full year financial results for the 12 months ended 30 september 2025, accessed February 4, 2026, </w:t>
      </w:r>
      <w:hyperlink r:id="rId12">
        <w:r w:rsidDel="00000000" w:rsidR="00000000" w:rsidRPr="00000000">
          <w:rPr>
            <w:rFonts w:ascii="Google Sans" w:cs="Google Sans" w:eastAsia="Google Sans" w:hAnsi="Google Sans"/>
            <w:color w:val="0000ee"/>
            <w:sz w:val="24"/>
            <w:szCs w:val="24"/>
            <w:u w:val="single"/>
            <w:rtl w:val="0"/>
          </w:rPr>
          <w:t xml:space="preserve">https://www.westpac.com.au/content/dam/public/wbc/documents/pdf/aw/ic/wbc-full-year-presentation-and-IDP-2025.pdf</w:t>
        </w:r>
      </w:hyperlink>
      <w:r w:rsidDel="00000000" w:rsidR="00000000" w:rsidRPr="00000000">
        <w:rPr>
          <w:rtl w:val="0"/>
        </w:rPr>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full year results management discussion and analysis - NAB, accessed February 4, 2026, </w:t>
      </w:r>
      <w:hyperlink r:id="rId13">
        <w:r w:rsidDel="00000000" w:rsidR="00000000" w:rsidRPr="00000000">
          <w:rPr>
            <w:rFonts w:ascii="Google Sans" w:cs="Google Sans" w:eastAsia="Google Sans" w:hAnsi="Google Sans"/>
            <w:color w:val="0000ee"/>
            <w:sz w:val="24"/>
            <w:szCs w:val="24"/>
            <w:u w:val="single"/>
            <w:rtl w:val="0"/>
          </w:rPr>
          <w:t xml:space="preserve">https://www.nab.com.au/content/dam/nab/documents/reports/corporate/2025-full-year-results-management-discussion-and-analysis.pdf</w:t>
        </w:r>
      </w:hyperlink>
      <w:r w:rsidDel="00000000" w:rsidR="00000000" w:rsidRPr="00000000">
        <w:rPr>
          <w:rtl w:val="0"/>
        </w:rPr>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November 2025 | ANZ, accessed February 4, 2026, </w:t>
      </w:r>
      <w:hyperlink r:id="rId14">
        <w:r w:rsidDel="00000000" w:rsidR="00000000" w:rsidRPr="00000000">
          <w:rPr>
            <w:rFonts w:ascii="Google Sans" w:cs="Google Sans" w:eastAsia="Google Sans" w:hAnsi="Google Sans"/>
            <w:color w:val="0000ee"/>
            <w:sz w:val="24"/>
            <w:szCs w:val="24"/>
            <w:u w:val="single"/>
            <w:rtl w:val="0"/>
          </w:rPr>
          <w:t xml:space="preserve">https://www.anz.com/content/dam/anzcom/shareholder/full-year-results-announcement/2025-full-year-results-investor-discussion-pack.pdf</w:t>
        </w:r>
      </w:hyperlink>
      <w:r w:rsidDel="00000000" w:rsidR="00000000" w:rsidRPr="00000000">
        <w:rPr>
          <w:rtl w:val="0"/>
        </w:rPr>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Basel III Pillar 3 - Capital Adequacy and Risk Disclosures as at 30 June 2025 | CommBank, accessed February 4, 2026, </w:t>
      </w:r>
      <w:hyperlink r:id="rId15">
        <w:r w:rsidDel="00000000" w:rsidR="00000000" w:rsidRPr="00000000">
          <w:rPr>
            <w:rFonts w:ascii="Google Sans" w:cs="Google Sans" w:eastAsia="Google Sans" w:hAnsi="Google Sans"/>
            <w:color w:val="0000ee"/>
            <w:sz w:val="24"/>
            <w:szCs w:val="24"/>
            <w:u w:val="single"/>
            <w:rtl w:val="0"/>
          </w:rPr>
          <w:t xml:space="preserve">https://www.commbank.com.au/content/dam/commbank-assets/investors/docs/results/fy25/basel-iii-pillar-3%E2%80%93capital-adequacy-risk-disclosures-30-june-2025.pdf</w:t>
        </w:r>
      </w:hyperlink>
      <w:r w:rsidDel="00000000" w:rsidR="00000000" w:rsidRPr="00000000">
        <w:rPr>
          <w:rtl w:val="0"/>
        </w:rPr>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ANNUAL REPORT | Westpac, accessed February 4, 2026, </w:t>
      </w:r>
      <w:hyperlink r:id="rId16">
        <w:r w:rsidDel="00000000" w:rsidR="00000000" w:rsidRPr="00000000">
          <w:rPr>
            <w:rFonts w:ascii="Google Sans" w:cs="Google Sans" w:eastAsia="Google Sans" w:hAnsi="Google Sans"/>
            <w:color w:val="0000ee"/>
            <w:sz w:val="24"/>
            <w:szCs w:val="24"/>
            <w:u w:val="single"/>
            <w:rtl w:val="0"/>
          </w:rPr>
          <w:t xml:space="preserve">https://www.westpac.com.au/content/dam/public/wbc/documents/pdf/aw/ic/wbc-annual-report-2024.pdf</w:t>
        </w:r>
      </w:hyperlink>
      <w:r w:rsidDel="00000000" w:rsidR="00000000" w:rsidRPr="00000000">
        <w:rPr>
          <w:rtl w:val="0"/>
        </w:rPr>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taxpayers subsidise the banks? - ANZ, accessed February 4, 2026, </w:t>
      </w:r>
      <w:hyperlink r:id="rId17">
        <w:r w:rsidDel="00000000" w:rsidR="00000000" w:rsidRPr="00000000">
          <w:rPr>
            <w:rFonts w:ascii="Google Sans" w:cs="Google Sans" w:eastAsia="Google Sans" w:hAnsi="Google Sans"/>
            <w:color w:val="0000ee"/>
            <w:sz w:val="24"/>
            <w:szCs w:val="24"/>
            <w:u w:val="single"/>
            <w:rtl w:val="0"/>
          </w:rPr>
          <w:t xml:space="preserve">https://www.anz.com.au/bluenotes/2016/05/do-taxpayers-subsidise-the-banks/</w:t>
        </w:r>
      </w:hyperlink>
      <w:r w:rsidDel="00000000" w:rsidR="00000000" w:rsidRPr="00000000">
        <w:rPr>
          <w:rtl w:val="0"/>
        </w:rPr>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Fixing a flawed levy on the banks could leave Australia's budget billions of dollars better off, accessed February 4, 2026, </w:t>
      </w:r>
      <w:hyperlink r:id="rId18">
        <w:r w:rsidDel="00000000" w:rsidR="00000000" w:rsidRPr="00000000">
          <w:rPr>
            <w:rFonts w:ascii="Google Sans" w:cs="Google Sans" w:eastAsia="Google Sans" w:hAnsi="Google Sans"/>
            <w:color w:val="0000ee"/>
            <w:sz w:val="24"/>
            <w:szCs w:val="24"/>
            <w:u w:val="single"/>
            <w:rtl w:val="0"/>
          </w:rPr>
          <w:t xml:space="preserve">https://www.theguardian.com/australia-news/2025/mar/23/how-fixing-one-flawed-tax-on-the-banks-could-leave-australias-budget-billions-of-dollars-better-off</w:t>
        </w:r>
      </w:hyperlink>
      <w:r w:rsidDel="00000000" w:rsidR="00000000" w:rsidRPr="00000000">
        <w:rPr>
          <w:rtl w:val="0"/>
        </w:rPr>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Big Four Banks: Full year 2024 results analysis - KPMG International, accessed February 4, 2026, </w:t>
      </w:r>
      <w:hyperlink r:id="rId19">
        <w:r w:rsidDel="00000000" w:rsidR="00000000" w:rsidRPr="00000000">
          <w:rPr>
            <w:rFonts w:ascii="Google Sans" w:cs="Google Sans" w:eastAsia="Google Sans" w:hAnsi="Google Sans"/>
            <w:color w:val="0000ee"/>
            <w:sz w:val="24"/>
            <w:szCs w:val="24"/>
            <w:u w:val="single"/>
            <w:rtl w:val="0"/>
          </w:rPr>
          <w:t xml:space="preserve">https://kpmg.com/au/en/insights/industry/australian-big-4-major-banks-full-year-results-2024.html</w:t>
        </w:r>
      </w:hyperlink>
      <w:r w:rsidDel="00000000" w:rsidR="00000000" w:rsidRPr="00000000">
        <w:rPr>
          <w:rtl w:val="0"/>
        </w:rPr>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the Four Major Banks: First Report - Parliament of Australia, accessed February 4, 2026, </w:t>
      </w:r>
      <w:hyperlink r:id="rId20">
        <w:r w:rsidDel="00000000" w:rsidR="00000000" w:rsidRPr="00000000">
          <w:rPr>
            <w:rFonts w:ascii="Google Sans" w:cs="Google Sans" w:eastAsia="Google Sans" w:hAnsi="Google Sans"/>
            <w:color w:val="0000ee"/>
            <w:sz w:val="24"/>
            <w:szCs w:val="24"/>
            <w:u w:val="single"/>
            <w:rtl w:val="0"/>
          </w:rPr>
          <w:t xml:space="preserve">https://www.aph.gov.au/-/media/02_Parliamentary_Business/24_Committees/243_Reps_Committees/Economics/45p/Four_Major_Banks_-_First_Report/Final_-_Review_of_the_Four_Major_Banks_First_Report.pdf</w:t>
        </w:r>
      </w:hyperlink>
      <w:r w:rsidDel="00000000" w:rsidR="00000000" w:rsidRPr="00000000">
        <w:rPr>
          <w:rtl w:val="0"/>
        </w:rPr>
      </w:r>
    </w:p>
    <w:p w:rsidR="00000000" w:rsidDel="00000000" w:rsidP="00000000" w:rsidRDefault="00000000" w:rsidRPr="00000000" w14:paraId="0000008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Funding in 2024 | Bulletin – April 2025 | RBA, accessed February 4, 2026, </w:t>
      </w:r>
      <w:hyperlink r:id="rId21">
        <w:r w:rsidDel="00000000" w:rsidR="00000000" w:rsidRPr="00000000">
          <w:rPr>
            <w:rFonts w:ascii="Google Sans" w:cs="Google Sans" w:eastAsia="Google Sans" w:hAnsi="Google Sans"/>
            <w:color w:val="0000ee"/>
            <w:sz w:val="24"/>
            <w:szCs w:val="24"/>
            <w:u w:val="single"/>
            <w:rtl w:val="0"/>
          </w:rPr>
          <w:t xml:space="preserve">https://www.rba.gov.au/publications/bulletin/2025/apr/bank-funding-in-2024.html</w:t>
        </w:r>
      </w:hyperlink>
      <w:r w:rsidDel="00000000" w:rsidR="00000000" w:rsidRPr="00000000">
        <w:rPr>
          <w:rtl w:val="0"/>
        </w:rPr>
      </w:r>
    </w:p>
    <w:p w:rsidR="00000000" w:rsidDel="00000000" w:rsidP="00000000" w:rsidRDefault="00000000" w:rsidRPr="00000000" w14:paraId="0000008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RBA fit for the future - Review of the Reserve Bank of Australia, accessed February 4, 2026, </w:t>
      </w:r>
      <w:hyperlink r:id="rId22">
        <w:r w:rsidDel="00000000" w:rsidR="00000000" w:rsidRPr="00000000">
          <w:rPr>
            <w:rFonts w:ascii="Google Sans" w:cs="Google Sans" w:eastAsia="Google Sans" w:hAnsi="Google Sans"/>
            <w:color w:val="0000ee"/>
            <w:sz w:val="24"/>
            <w:szCs w:val="24"/>
            <w:u w:val="single"/>
            <w:rtl w:val="0"/>
          </w:rPr>
          <w:t xml:space="preserve">https://rbareview.gov.au/sites/rbareview.gov.au/files/2023-06/rbareview-report-at_0.pdf</w:t>
        </w:r>
      </w:hyperlink>
      <w:r w:rsidDel="00000000" w:rsidR="00000000" w:rsidRPr="00000000">
        <w:rPr>
          <w:rtl w:val="0"/>
        </w:rPr>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Living standards and housing crisis worsen after another record month of unplanned migration - IPA, accessed February 4, 2026, </w:t>
      </w:r>
      <w:hyperlink r:id="rId23">
        <w:r w:rsidDel="00000000" w:rsidR="00000000" w:rsidRPr="00000000">
          <w:rPr>
            <w:rFonts w:ascii="Google Sans" w:cs="Google Sans" w:eastAsia="Google Sans" w:hAnsi="Google Sans"/>
            <w:color w:val="0000ee"/>
            <w:sz w:val="24"/>
            <w:szCs w:val="24"/>
            <w:u w:val="single"/>
            <w:rtl w:val="0"/>
          </w:rPr>
          <w:t xml:space="preserve">https://ipa.org.au/read/living-standards-and-housing-crisis-worsen-after-another-record-month-of-unplanned-migration</w:t>
        </w:r>
      </w:hyperlink>
      <w:r w:rsidDel="00000000" w:rsidR="00000000" w:rsidRPr="00000000">
        <w:rPr>
          <w:rtl w:val="0"/>
        </w:rPr>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Negative Gearing and Welfare: A Quantitative Study for the Australian Housing Market - Reserve Bank of Australia, accessed February 4, 2026, </w:t>
      </w:r>
      <w:hyperlink r:id="rId24">
        <w:r w:rsidDel="00000000" w:rsidR="00000000" w:rsidRPr="00000000">
          <w:rPr>
            <w:rFonts w:ascii="Google Sans" w:cs="Google Sans" w:eastAsia="Google Sans" w:hAnsi="Google Sans"/>
            <w:color w:val="0000ee"/>
            <w:sz w:val="24"/>
            <w:szCs w:val="24"/>
            <w:u w:val="single"/>
            <w:rtl w:val="0"/>
          </w:rPr>
          <w:t xml:space="preserve">https://www.rba.gov.au/publications/workshops/research/2017/pdf/rba-workshop-2017-simon-cho-may-li.pdf</w:t>
        </w:r>
      </w:hyperlink>
      <w:r w:rsidDel="00000000" w:rsidR="00000000" w:rsidRPr="00000000">
        <w:rPr>
          <w:rtl w:val="0"/>
        </w:rPr>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ownership would rise if negative gearing is scrapped, study says - The Guardian, accessed February 4, 2026, </w:t>
      </w:r>
      <w:hyperlink r:id="rId25">
        <w:r w:rsidDel="00000000" w:rsidR="00000000" w:rsidRPr="00000000">
          <w:rPr>
            <w:rFonts w:ascii="Google Sans" w:cs="Google Sans" w:eastAsia="Google Sans" w:hAnsi="Google Sans"/>
            <w:color w:val="0000ee"/>
            <w:sz w:val="24"/>
            <w:szCs w:val="24"/>
            <w:u w:val="single"/>
            <w:rtl w:val="0"/>
          </w:rPr>
          <w:t xml:space="preserve">https://www.theguardian.com/australia-news/2018/jan/13/australian-house-prices-will-fall-if-negative-gearing-goes-study-says</w:t>
        </w:r>
      </w:hyperlink>
      <w:r w:rsidDel="00000000" w:rsidR="00000000" w:rsidRPr="00000000">
        <w:rPr>
          <w:rtl w:val="0"/>
        </w:rPr>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Submission to the Productivity Commission Inquiry on First Home Ownership 2. Factors Behind the Recent Rise in House Prices - Reserve Bank of Australia, accessed February 4, 2026, </w:t>
      </w:r>
      <w:hyperlink r:id="rId26">
        <w:r w:rsidDel="00000000" w:rsidR="00000000" w:rsidRPr="00000000">
          <w:rPr>
            <w:rFonts w:ascii="Google Sans" w:cs="Google Sans" w:eastAsia="Google Sans" w:hAnsi="Google Sans"/>
            <w:color w:val="0000ee"/>
            <w:sz w:val="24"/>
            <w:szCs w:val="24"/>
            <w:u w:val="single"/>
            <w:rtl w:val="0"/>
          </w:rPr>
          <w:t xml:space="preserve">https://www.rba.gov.au/publications/submissions/housing-and-housing-finance/inquiry-productivity-commission-on-first-home/factors-behind-recent-rise-in-house-prices.html</w:t>
        </w:r>
      </w:hyperlink>
      <w:r w:rsidDel="00000000" w:rsidR="00000000" w:rsidRPr="00000000">
        <w:rPr>
          <w:rtl w:val="0"/>
        </w:rPr>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Guarantee Scheme Expansion - Implications for First Home Buyers and Lenders Mortgage Insurance - Insurance Council of Australia, accessed February 4, 2026, </w:t>
      </w:r>
      <w:hyperlink r:id="rId27">
        <w:r w:rsidDel="00000000" w:rsidR="00000000" w:rsidRPr="00000000">
          <w:rPr>
            <w:rFonts w:ascii="Google Sans" w:cs="Google Sans" w:eastAsia="Google Sans" w:hAnsi="Google Sans"/>
            <w:color w:val="0000ee"/>
            <w:sz w:val="24"/>
            <w:szCs w:val="24"/>
            <w:u w:val="single"/>
            <w:rtl w:val="0"/>
          </w:rPr>
          <w:t xml:space="preserve">https://insurancecouncil.com.au/wp-content/uploads/2025/08/HGS-and-LMI-report-Lateral-Economics-final.pdf</w:t>
        </w:r>
      </w:hyperlink>
      <w:r w:rsidDel="00000000" w:rsidR="00000000" w:rsidRPr="00000000">
        <w:rPr>
          <w:rtl w:val="0"/>
        </w:rPr>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Developers Who Led the Way for BtR in 2025, accessed February 4, 2026, </w:t>
      </w:r>
      <w:hyperlink r:id="rId28">
        <w:r w:rsidDel="00000000" w:rsidR="00000000" w:rsidRPr="00000000">
          <w:rPr>
            <w:rFonts w:ascii="Google Sans" w:cs="Google Sans" w:eastAsia="Google Sans" w:hAnsi="Google Sans"/>
            <w:color w:val="0000ee"/>
            <w:sz w:val="24"/>
            <w:szCs w:val="24"/>
            <w:u w:val="single"/>
            <w:rtl w:val="0"/>
          </w:rPr>
          <w:t xml:space="preserve">https://www.theurbandeveloper.com/articles/australian-build-to-rent-top-developers-2025</w:t>
        </w:r>
      </w:hyperlink>
      <w:r w:rsidDel="00000000" w:rsidR="00000000" w:rsidRPr="00000000">
        <w:rPr>
          <w:rtl w:val="0"/>
        </w:rPr>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Greystar's $1.56 Billion Investment in Australian Rental Housing Market Gains Momentum With Fourth Build to Rent Property, accessed February 4, 2026, </w:t>
      </w:r>
      <w:hyperlink r:id="rId29">
        <w:r w:rsidDel="00000000" w:rsidR="00000000" w:rsidRPr="00000000">
          <w:rPr>
            <w:rFonts w:ascii="Google Sans" w:cs="Google Sans" w:eastAsia="Google Sans" w:hAnsi="Google Sans"/>
            <w:color w:val="0000ee"/>
            <w:sz w:val="24"/>
            <w:szCs w:val="24"/>
            <w:u w:val="single"/>
            <w:rtl w:val="0"/>
          </w:rPr>
          <w:t xml:space="preserve">https://www.greystar.com/business/about-greystar/newsroom/greystars-investment-in-australian-rental-housing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ph.gov.au/-/media/02_Parliamentary_Business/24_Committees/243_Reps_Committees/Economics/45p/Four_Major_Banks_-_First_Report/Final_-_Review_of_the_Four_Major_Banks_First_Report.pdf" TargetMode="External"/><Relationship Id="rId22" Type="http://schemas.openxmlformats.org/officeDocument/2006/relationships/hyperlink" Target="https://rbareview.gov.au/sites/rbareview.gov.au/files/2023-06/rbareview-report-at_0.pdf" TargetMode="External"/><Relationship Id="rId21" Type="http://schemas.openxmlformats.org/officeDocument/2006/relationships/hyperlink" Target="https://www.rba.gov.au/publications/bulletin/2025/apr/bank-funding-in-2024.html" TargetMode="External"/><Relationship Id="rId24" Type="http://schemas.openxmlformats.org/officeDocument/2006/relationships/hyperlink" Target="https://www.rba.gov.au/publications/workshops/research/2017/pdf/rba-workshop-2017-simon-cho-may-li.pdf" TargetMode="External"/><Relationship Id="rId23" Type="http://schemas.openxmlformats.org/officeDocument/2006/relationships/hyperlink" Target="https://ipa.org.au/read/living-standards-and-housing-crisis-worsen-after-another-record-month-of-unplanned-migr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easury.gov.au/sites/default/files/2024-05/c2024-487657-mirvac.pdf" TargetMode="External"/><Relationship Id="rId26" Type="http://schemas.openxmlformats.org/officeDocument/2006/relationships/hyperlink" Target="https://www.rba.gov.au/publications/submissions/housing-and-housing-finance/inquiry-productivity-commission-on-first-home/factors-behind-recent-rise-in-house-prices.html" TargetMode="External"/><Relationship Id="rId25" Type="http://schemas.openxmlformats.org/officeDocument/2006/relationships/hyperlink" Target="https://www.theguardian.com/australia-news/2018/jan/13/australian-house-prices-will-fall-if-negative-gearing-goes-study-says" TargetMode="External"/><Relationship Id="rId28" Type="http://schemas.openxmlformats.org/officeDocument/2006/relationships/hyperlink" Target="https://www.theurbandeveloper.com/articles/australian-build-to-rent-top-developers-2025" TargetMode="External"/><Relationship Id="rId27" Type="http://schemas.openxmlformats.org/officeDocument/2006/relationships/hyperlink" Target="https://insurancecouncil.com.au/wp-content/uploads/2025/08/HGS-and-LMI-report-Lateral-Economics-final.pdf" TargetMode="External"/><Relationship Id="rId5" Type="http://schemas.openxmlformats.org/officeDocument/2006/relationships/styles" Target="styles.xml"/><Relationship Id="rId6" Type="http://schemas.openxmlformats.org/officeDocument/2006/relationships/hyperlink" Target="https://www.cfr.gov.au/publications/consultations/2024/review-into-small-and-medium-sized-banks/review-into-small-and-medium-sized-banks.html" TargetMode="External"/><Relationship Id="rId29" Type="http://schemas.openxmlformats.org/officeDocument/2006/relationships/hyperlink" Target="https://www.greystar.com/business/about-greystar/newsroom/greystars-investment-in-australian-rental-housing" TargetMode="External"/><Relationship Id="rId7" Type="http://schemas.openxmlformats.org/officeDocument/2006/relationships/hyperlink" Target="https://www.imf.org/en/publications/cr/issues/2024/12/20/australia-2024-article-iv-consultation-press-release-and-staff-report-559811" TargetMode="External"/><Relationship Id="rId8" Type="http://schemas.openxmlformats.org/officeDocument/2006/relationships/hyperlink" Target="https://www.aph.gov.au/Parliamentary_Business/Hansard/Hansard_Display?bid=chamber/hansards/28834/&amp;sid=0222" TargetMode="External"/><Relationship Id="rId11" Type="http://schemas.openxmlformats.org/officeDocument/2006/relationships/hyperlink" Target="https://www.commbank.com.au/content/dam/commbank-assets/investors/docs/results/fy25/2025-annual-report.pdf" TargetMode="External"/><Relationship Id="rId10" Type="http://schemas.openxmlformats.org/officeDocument/2006/relationships/hyperlink" Target="https://www.commbank.com.au/content/dam/commbank-assets/investors/docs/results/fy25/full-year-profit-presentation.pdf" TargetMode="External"/><Relationship Id="rId13" Type="http://schemas.openxmlformats.org/officeDocument/2006/relationships/hyperlink" Target="https://www.nab.com.au/content/dam/nab/documents/reports/corporate/2025-full-year-results-management-discussion-and-analysis.pdf" TargetMode="External"/><Relationship Id="rId12" Type="http://schemas.openxmlformats.org/officeDocument/2006/relationships/hyperlink" Target="https://www.westpac.com.au/content/dam/public/wbc/documents/pdf/aw/ic/wbc-full-year-presentation-and-IDP-2025.pdf" TargetMode="External"/><Relationship Id="rId15" Type="http://schemas.openxmlformats.org/officeDocument/2006/relationships/hyperlink" Target="https://www.commbank.com.au/content/dam/commbank-assets/investors/docs/results/fy25/basel-iii-pillar-3%E2%80%93capital-adequacy-risk-disclosures-30-june-2025.pdf" TargetMode="External"/><Relationship Id="rId14" Type="http://schemas.openxmlformats.org/officeDocument/2006/relationships/hyperlink" Target="https://www.anz.com/content/dam/anzcom/shareholder/full-year-results-announcement/2025-full-year-results-investor-discussion-pack.pdf" TargetMode="External"/><Relationship Id="rId17" Type="http://schemas.openxmlformats.org/officeDocument/2006/relationships/hyperlink" Target="https://www.anz.com.au/bluenotes/2016/05/do-taxpayers-subsidise-the-banks/" TargetMode="External"/><Relationship Id="rId16" Type="http://schemas.openxmlformats.org/officeDocument/2006/relationships/hyperlink" Target="https://www.westpac.com.au/content/dam/public/wbc/documents/pdf/aw/ic/wbc-annual-report-2024.pdf" TargetMode="External"/><Relationship Id="rId19" Type="http://schemas.openxmlformats.org/officeDocument/2006/relationships/hyperlink" Target="https://kpmg.com/au/en/insights/industry/australian-big-4-major-banks-full-year-results-2024.html" TargetMode="External"/><Relationship Id="rId18" Type="http://schemas.openxmlformats.org/officeDocument/2006/relationships/hyperlink" Target="https://www.theguardian.com/australia-news/2025/mar/23/how-fixing-one-flawed-tax-on-the-banks-could-leave-australias-budget-billions-of-dollars-better-of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