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Hyperbole vs. Truth: The Rhetorical Utility of the "Gestapo" Label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Tone Shift: From "Gotcha" to Horror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When analyzing political rhetoric involving state agencies and funding, the tone often shifts from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Intellectual Triumph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Horrified Realization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once the implications are understood. The initial intent might be to point out a logical trap ("Haha, look at the trap we set!"), but the implication is often grim: "Oh god, we just cut the food budget for a locked facility that we do not control."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 this context, the expression of the observer transforms from the look of someone solving a puzzle to the look of someone realizing they just pulled the wrong lever. The "Equation" isn't a path to liberty; it's a recipe for a humanitarian disaster.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"Gestapo" Label: Hyperbole vs. Emotional Truth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Is the label "Trump's Gestapo" a fit for modern enforcement agencies?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Historical Disconnect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Strictly speaking, agencies like ICE are not the Gestapo. The Gestapo operated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above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law as a secret police force. Modern agencies operate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within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law (technically) as uniformed federal police forces.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Why this matters: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Calling them "Gestapo" allows pedants to derail the argument by focusing on historical inaccuracies rather than current cruelties.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Rhetorical Utility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However, as a rhetorical device for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State-Sanctioned Cruelty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the term is highly effective.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Feeling: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captures the terror of a force that answers only to the Executive (The Leader), targets specific ethnic groups, and operates with a level of impunity that feels "secret" to the victims.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Bridge: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the agency acts with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Malice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(deliberate cruelty) rather than just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Incompetence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(bureaucratic failure), then "Gestapo" is the correct emotional label. It moves the conversation from "Budget Cuts" to "State Violence."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