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Contextual Volume and Effect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Equation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Words describe actions -&gt; effect relative to the contextual frame and understanding. Language operates as a mechanism for state changes, where a word initiates an action that generates an effect, governed by the boundary conditions of the contextual frame.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relationship is defined by the following equation: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 = Actions(context_subjective, context_objective)²</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exponent ()² represents a target structure of "the balanced amount within." This calculates the intersection limit, or the equilibrium, between two distinct contextual weights: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context_subjective: The internal map. Theoretical understanding, intent, and linguistic framing.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context_objective: The external territory. Empirical feedback, lived friction, and tactile reality.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defining the target structure as a squared function, the equation invokes a fundamental geometric truth: optimization through symmetry. If the subjective and objective contexts are visualized as the dimensions of a rectangle, the maximum possible area (Effect) is achieved only when the two sides are perfectly equal (</w:t>
      </w:r>
      <w:r w:rsidDel="00000000" w:rsidR="00000000" w:rsidRPr="00000000">
        <w:rPr>
          <w:rFonts w:ascii="Google Sans" w:cs="Google Sans" w:eastAsia="Google Sans" w:hAnsi="Google Sans"/>
          <w:color w:val="1f1f1f"/>
        </w:rPr>
        <w:drawing>
          <wp:inline distB="19050" distT="19050" distL="19050" distR="19050">
            <wp:extent cx="448419" cy="2289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8419" cy="2289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Any skew toward pure ungrounded subjectivity or rigid, sterile objectivity narrows the total impact.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literally is power—the internal multiplier for actions to become effects. Rather than existing as a separate external variable, knowledge is the sheer understanding of the contexts themselves. For this multiplier to function, subjective-told knowledge (the subjective context) must equal objective-experienced knowledge (the objective context). As the understanding of these equalized contexts grows, the resulting effect scales exponentially, driving the kinetic power of the system.</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Geometry of Contextual Volume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magnitude of the Effect is dictated by the symmetry and understanding of the contexts. The "balanced amount within" acts as a structural bottleneck. The contexts that are equal can be larger or smaller relative to one's subjective against objective.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High Power Equilibrium: If both subjective and objective contexts share a massive, equalized understanding, the squared function yields a massive, systemic Effect.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Low Power Equilibrium: If both contexts are equal but structurally small, alignment is maintained, but the resulting Effect is strictly localized.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contexts are asymmetrical, the excess volume cannot be processed. For example, if context_subjective has an understanding of 500 units, but context_objective only has an understanding of 50 units, the "balanced amount within" caps at the lower bound of 50. The equation executes the effect at 50².</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and Excess Velocity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Writing and communication operate as an algorithmic stream, executed through the following logic: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TryActions(context_subjective == context_objective){Effect}catch{Waste}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not a monolithic, fail-fast block, but a stream consumption model operating identically to a compiler parsing a string of code. The system evaluates the contexts sequentially, running up until contextual alignment fails, returning how far you got, and handling the excess velocity gracefully.</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The Execution ({Effect}): While the contexts remain equalized, the action translates into a tangible shift in state. Like a Generator function, the system yields the accumulated successful effects prior to the failure.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Exception ({Waste}): When the contexts do not match, the delta (the excess velocity) is sheared off. This block is not merely an error log; it represents thermodynamic entropy. The energy expended in writing and the time expended in reading dissipate entirely into the void without generating forward work.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sheared delta is Excess Velocity. To illustrate the mechanics of handling this, consider the physics of a classic Looney Tunes animation versus reality.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animation, a character runs past the edge of a cliff (the exact point where the condition context_subjective == context_objective evaluates to False). Instead of halting, the character continues sprinting horizontally in mid-air, failing to return how far they got because their subjective frame has not yet recognized the absence of the objective ground. When they finally look down—forcing the delayed evaluation of the catch block—all unspent kinetic momentum violently converts into a straight, fatal drop. In writing, this is a monolithic system crash: a reader processes dense text long after losing the objective thread, resulting in severe cognitive fatigue.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reality of the algorithmic stream model, environmental feedback is immediate. When the objective support vanishes, reality logs the exact coordinate where the ground ended. Because the body retains forward mass and acceleration, it enters a parabolic trajectory dictated by its remaining inertia.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Handling this excess velocity gracefully requires actively translating that unspent force into a non-destructive state—like a freerunner initiating a kinetic roll to safely bleed off energy into the ground. In human communication, when the objective understanding fails to map to the subjective structure, the remaining words still possess cognitive weight and mass. Handling them gracefully means architecting the text to anticipate the reader's drop-off, providing natural off-ramps, summarizing pivots, or appendix shifts so the unspent momentum is safely routed into the {Waste} block without indiscriminately overloading the cognitive buffer.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