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n22h2npat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Language Performance Metrics — 10‑Metric System &amp; Scores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k90dq4db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documents a reproducible, operational 10‑metric system for judging language performance. It is designed as a pragmatic benchmarking framework that blends cognitive, communicative, morphological, and learnability measures. The system is suitable for comparing natural languages and constructed meta‑languages (for example, a Universal Classification), and it outputs normalized 0–100 scores per metric which can be averaged into an aggregate ranking.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t84nwooji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10 Metrics (definitions, measurement &amp; sub‑rules)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Notation:</w:t>
      </w:r>
      <w:r w:rsidDel="00000000" w:rsidR="00000000" w:rsidRPr="00000000">
        <w:rPr>
          <w:rtl w:val="0"/>
        </w:rPr>
        <w:t xml:space="preserve"> each metric is scored 0–100, higher is "better" for the goals of expressiveness, efficiency and learnability unless explicitly stated otherwise.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1i1h4gw40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Conceptual RAM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capacity to encode independent conceptual units in a single syntactic block, without external paraphrase.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how much raw conceptual load a language can hold in live thought or a short utterance.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native morphological and compounding devices able to encode distinct concepts per clause.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native compound productivity, inflectional range (cases, aspects), and native lexical granularity.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heuristics: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90–100: Extremely high native tooling for abstraction and neologism (e.g., UC, English, Mandarin).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70–89: Strong productive morphology and compounding.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40–69: Moderate capacity.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0–39: Low, heavily context‑dependent.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Loanword presence does not increase Conceptual RAM unless the language natively integrates the morphological pattern to produce new terms.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Philosophical / metaphysical term families (e.g., Greek, Sanskrit) positively influence score.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nx4z2jqo0z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Memory Efficiency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How efficiently the language maps onto human working memory constraints (chunking; 7±2 rule) for recall and short‑term processing.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Predicts ease of immediate comprehension and short‑term retention across typical utterances.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 average cognitive chunk size per clause (syllables/phonemes/characters depending on script).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for word‑boundary markers (spaces) and phonotactic regularity which aid chunking.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Scripts with spacing (Latin, Cyrillic, Hangul) score higher in Memory Efficiency than dense logographic scripts without phonetic cues.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Phonetic regularity (consistent grapheme→phoneme mapping) increases score.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014lgidmf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Dynamic Mutability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Ease and naturalness of forming new contextually transparent lexical items on the fly (compounds, blends, functional neologisms).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how readily a language can expand its lexicon in situ without external borrowing.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Assess compounding productivity (German style), morphological affixation, and productive derivational patterns.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sociolinguistic openness to neologisms (prescriptive bodies reduce score).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Grammars that allow unrestricted compounding and transparent derivation score highest.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 with official regulatory institutions (e.g., French Académie) get a slight penalty.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xhptf79xt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Language Latency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Speed of encoding and transmitting a novel or precise idea in real time (time‑to‑meaning).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Simulates conversational/operational speed: how fast can a speaker express a new precise concept.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Combine average word/phrase length for new concepts, morpho‑syntactic operations required, and parsing speed evidence from psycholinguistics where available.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Concise agglutinative and analytic forms with regular composition lower latency.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orthographic complexity can increase latency for written production.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gbo5hldgb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Emotional Expressive Spectrum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Granularity and tunable expressiveness for emotional states and affective spectra.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how precisely a language can encode valence, intensity, blends, modifiers and continuous ranges of emotion.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unique emotion lexemes, morphological intensifiers, gradation mechanisms, and conventionalized metaphor sets.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whether the language allows structured parametrization (e.g., your shortform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[+-love-+] {love}*n</w:t>
      </w:r>
      <w:r w:rsidDel="00000000" w:rsidR="00000000" w:rsidRPr="00000000">
        <w:rPr>
          <w:rtl w:val="0"/>
        </w:rPr>
        <w:t xml:space="preserve">) for intensities.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metric was weighted more heavily (+ + +) in earlier discussions to reflect its social significance.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Constructed symbolic shortforms that allow exact numeric intensity score dramatically raise this metric.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mnepvd35sc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Lexical DNA (Hybridization %)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Rough percentage of the language’s active lexicon derived from external sources (loanwords) versus native productive roots.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Measures historical and structural hybridity; indicates adaptability and ease of adopting technical vocabulary.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etymological dictionaries, corpora frequency lists and register breakdowns. Estimate percent of lexemes that are historically non‑native or are transparently borrowed in technical registers.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percentage is </w:t>
      </w:r>
      <w:r w:rsidDel="00000000" w:rsidR="00000000" w:rsidRPr="00000000">
        <w:rPr>
          <w:i w:val="1"/>
          <w:iCs w:val="1"/>
          <w:rtl w:val="0"/>
        </w:rPr>
        <w:t xml:space="preserve">lexical presence</w:t>
      </w:r>
      <w:r w:rsidDel="00000000" w:rsidR="00000000" w:rsidRPr="00000000">
        <w:rPr>
          <w:rtl w:val="0"/>
        </w:rPr>
        <w:t xml:space="preserve">, not token frequency; common function words often remain native even in heavily hybrid languages.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hybridization usually correlates with rapid adoption of new scientific terminology.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n0xrfmro3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Precision Steps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The number of atomic linguistic operations (words, affixes, compounds) required to accurately describe a specified complex modern concept without ambiguity.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Operationalises "explicit precision" — lower counts mean more concise, precise encoding.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Pick canonical modern technical concepts (e.g., "photosynthesis", "quantum entanglement") and count minimal native‑language verbalizations that avoid loanwords/transliteration.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 = normalized inverse of average step count.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Agglutinative compounding may register as fewer steps despite longer surface forms.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of transliterations/loans counts as additional steps if the judge requires native derivation.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gmaow7c3p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General‑use Rules × Geometric Complexity (GU Score)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combined penalty metric capturing the minimal grammar rules needed for functional understandability multiplied by the average geometric complexity of glyphs (lines/curves per character), inverted to a 0–100 convenience score.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Translates writing complexity plus rule churn into a single learnability penalty.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General‑use rules = estimated minimal rule set to be ‘‘functionally fluent’’ (everyday grammar, essential conjugations, plurality, basic syntax).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Geometric complexity = average continuous pen movements/lines needed to print a glyph in block print.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 Score formula (normalized):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 = 100 - ((Rules × Complexity) / MaxProduct × 100)</w:t>
      </w:r>
      <w:r w:rsidDel="00000000" w:rsidR="00000000" w:rsidRPr="00000000">
        <w:rPr>
          <w:rtl w:val="0"/>
        </w:rPr>
        <w:t xml:space="preserve"> where MaxProduct is set to the worst observed product in dataset.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 negative values at 0 for extreme cases (very complex scripts).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conventions (e.g., spacing, ligatures) are factored into geometric complexity.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1mw3njsfkz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Functional Fluency Skill Ceiling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How many rules/characters/items must be mastered to achieve native‑like competence (high ceiling = more to learn).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Quantifies long‑term effort to reach advanced mastery.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Estimate character/lexeme counts or rule counts required for advanced literacy (e.g., 3000–5000 characters for kanji literacy; 400–800 rules for complex inflectional grammars).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against a MaxCeiling (in our table, 5000 characters) and invert (higher = easier).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Includes idiomatic competence and register switching costs.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nxpc6rchg6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Average Learning Time (to functional fluency)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Empirical estimate of average time (years) for an adult learner to reach practical, functional fluency (reading, writing, listening, speaking) given standard exposure and study.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Real‑world metric that synthesizes acquisition difficulty across modalities.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Measurement method: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standard benchmarks (e.g., FSI/CEFR hours, empiric acquisition studies) to estimate years to functional fluency in an immersive environment.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 to MaxTime (we used 10 years for max difficulty) and invert to 0–100 index.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Sub‑rules / considerations: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Cultural immersion, age, and learner first language drastically affect this metric; the number reported is an adult‑learner average under immersion.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g8o2urfp5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Scoring &amp; normalization rules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 metrics are 0–100.</w:t>
      </w:r>
      <w:r w:rsidDel="00000000" w:rsidR="00000000" w:rsidRPr="00000000">
        <w:rPr>
          <w:rtl w:val="0"/>
        </w:rPr>
        <w:t xml:space="preserve"> Where a metric originally measured counts (lexical DNA %, character counts, years), we convert to 0–100 via linear normalization and inversion where appropriate.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Equal weighting default.</w:t>
      </w:r>
      <w:r w:rsidDel="00000000" w:rsidR="00000000" w:rsidRPr="00000000">
        <w:rPr>
          <w:rtl w:val="0"/>
        </w:rPr>
        <w:t xml:space="preserve"> The default aggregate score is a simple arithmetic mean of all 10 metrics. Alternate weighting schemes (science‑first, emotion‑first) must be specified explicitly to change the aggregate.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Caps and floors.</w:t>
      </w:r>
      <w:r w:rsidDel="00000000" w:rsidR="00000000" w:rsidRPr="00000000">
        <w:rPr>
          <w:rtl w:val="0"/>
        </w:rPr>
        <w:t xml:space="preserve"> Some intermediate calculated values are capped at 0 minimum to avoid negatives (e.g., extremely poor GU).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Transparency.</w:t>
      </w:r>
      <w:r w:rsidDel="00000000" w:rsidR="00000000" w:rsidRPr="00000000">
        <w:rPr>
          <w:rtl w:val="0"/>
        </w:rPr>
        <w:t xml:space="preserve"> Every reported number should be accompanied by a short note on data source and confidence band where available. In our dataset many entries are expert estimates rather than statistically sampled measures.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307oz7r55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caveats &amp; confidence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numbers in the dataset provided with this report are reasoned estimates based on linguistic typology, publicly available summaries (FSI/encyclopedic sources), and the conceptual model we developed. They are not the result of large‑scale corpora measurement for every metric.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bands: estimates that rely on registral counts (lexical DNA) are medium confidence; psycholinguistic latency values are lower confidence when not backed by experimental data; script geometry measures are high confidence when hand‑counted on representative glyph sets.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w4o6j2zhf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scores table (10‑metric full dataset)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the following table lists the 10 metric values for each language/system and the final aggregate (simple mean). Values are the same estimates used during our earlier benchmarking session.</w:t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6.6972477064221"/>
        <w:gridCol w:w="572.4770642201836"/>
        <w:gridCol w:w="797.8899082568807"/>
        <w:gridCol w:w="948.1651376146789"/>
        <w:gridCol w:w="754.9541284403671"/>
        <w:gridCol w:w="797.8899082568807"/>
        <w:gridCol w:w="701.2844036697248"/>
        <w:gridCol w:w="840.8256880733945"/>
        <w:gridCol w:w="572.4770642201836"/>
        <w:gridCol w:w="690.5504587155964"/>
        <w:gridCol w:w="840.8256880733945"/>
        <w:gridCol w:w="915.9633027522937"/>
        <w:tblGridChange w:id="0">
          <w:tblGrid>
            <w:gridCol w:w="926.6972477064221"/>
            <w:gridCol w:w="572.4770642201836"/>
            <w:gridCol w:w="797.8899082568807"/>
            <w:gridCol w:w="948.1651376146789"/>
            <w:gridCol w:w="754.9541284403671"/>
            <w:gridCol w:w="797.8899082568807"/>
            <w:gridCol w:w="701.2844036697248"/>
            <w:gridCol w:w="840.8256880733945"/>
            <w:gridCol w:w="572.4770642201836"/>
            <w:gridCol w:w="690.5504587155964"/>
            <w:gridCol w:w="840.8256880733945"/>
            <w:gridCol w:w="915.9633027522937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Language /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Lexical DNA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 Ceiling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Learning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Aggregate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UC + shortform + emotion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97.6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99.4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97.8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UC + shortform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97.6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99.4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95.1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UC (original)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95.2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99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93.3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64.3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80.0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Italian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75.0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78.5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Spanish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93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71.4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77.5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Portuguese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70.0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91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76.9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Korean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71.4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75.5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German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98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57.1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74.8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Russian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52.4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72.5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French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67.9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71.0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Arabic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74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86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47.6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84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66.9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Bengali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76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83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14.3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66.5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Hindi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82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88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4.8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61.5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Japanese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60.2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Mandarin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92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90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59.7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lulvgcrsa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to use this report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Reproduce</w:t>
      </w:r>
      <w:r w:rsidDel="00000000" w:rsidR="00000000" w:rsidRPr="00000000">
        <w:rPr>
          <w:rtl w:val="0"/>
        </w:rPr>
        <w:t xml:space="preserve">: the scoring formulas are provided; you can replace any numeric value with corpus‑derived data and re‑run the aggregates.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Reweight</w:t>
      </w:r>
      <w:r w:rsidDel="00000000" w:rsidR="00000000" w:rsidRPr="00000000">
        <w:rPr>
          <w:rtl w:val="0"/>
        </w:rPr>
        <w:t xml:space="preserve">: for domain‑specific tasks (science vs poetry) change metric weights and recompute the mean.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Extend</w:t>
      </w:r>
      <w:r w:rsidDel="00000000" w:rsidR="00000000" w:rsidRPr="00000000">
        <w:rPr>
          <w:rtl w:val="0"/>
        </w:rPr>
        <w:t xml:space="preserve">: add languages, dialects or conlangs by scoring the 10 metrics and appending to the table.</w:t>
        <w:br w:type="textWrapping"/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2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