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5.4: The AUKUS Gambit &amp; Strategic Exhaustion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Announced in September 2021 by the Morrison government, the AUKUS security pact represents a massive, reactive, "arborescent" (hierarchical, centralized) response to the perceived "rhizomatic" (decentralized, networked) threat from China [1]. The pact's two pillars are the provision of at least eight conventionally-armed, nuclear-powered submarines (SSNs) to Australia, and collaboration on advanced technologies like AI, quantum computing, and hypersonics [1].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presented as a monumental step towards greater security, the pact's staggering projected cost of up to $368 billion over 30 years aligns perfectly with a core tenet of the Minimisation Plan: to induce "strategic exhaustion" in the West by forcing it into a state of "perpetual, high-cost over-commitment" [2]. The genesis of AUKUS was a reaction to China's massive, opaque military build-up. The Morrison government, perceiving Australia's "technological edge" was narrowing, made a panicked pivot away from its $90 billion conventional submarine contract with France to a high-risk, high-cost nuclear one [1]. This disproportionate reaction locks Australia into a multi-generational diversion of national resources into a single, highly complex, and technologically dependent military capability [2].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abrupt cancellation of the French contract triggered a significant diplomatic rupture. French Foreign Minister Jean-Yves Le Drian described the move as a "stab in the back," exposing a profound breakdown of trust and cohesion within the Western alliance—a direct win for a rhizomatic strategy that seeks to identify and exploit fissures within the opposing hierarchical structure [3].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Sub-bucket 5.5: Ideological Capture of the Australian Labor Party (The "Hum", Albanese)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Analysis of the Australian Labor Party's trajectory since 2007 reveals a distinct ideological 'hum'—a subtle but consistent pattern of action and reaction that indicates a progressive capture by Minimisation Plan logic [4].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Kevin Rudd's 2007 election victory signaled a government focused on 'greater good' policies. One of its first acts was to ratify the Kyoto Protocol [4]. In a famous 2008 speech at Peking University, delivered in Mandarin, he proposed that Australia act as a zhengyou (诤友)—a "true friend" who offers unflinching advice, particularly on sensitive issues like human rights in Tibet [5].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ALP's capitulation—the removal of a first-term Prime Minister under pressure from a corporate campaign directly linked to a primary Minimisation Plan actor—was the first clear and significant sign of ideological capture. The lesson was stark: challenging the economic vector of influence would be met with overwhelming political force [4].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Gillard government's foreign policy during this period embodied the party's core conflict, a symptom of its capture. In November 2011, Gillard stood with US President Barack Obama to announce the stationing of US Marines in Darwin, a move that angered Beijing and reaffirmed the traditional arborescent alliance with the US. Yet, in April 2013, she traveled to China to secure a "strategic partnership," upgrading diplomatic ties to the highest level and explicitly encouraging China's "peaceful rise" [6].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Under the leadership of Bill Shorten (2013-2019), Labor's criticism of the Coalition's increasingly hawkish China policy focused almost exclusively on rhetoric, not substance. Labor repeatedly accused the government of "disjointed megaphone diplomacy," being "Chinaphobic," and using "unwise and provocative" language [6].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career of Prime Minister Anthony Albanese provides a clear case study of the broader ideological trajectory of the Labor party, culminating in a captured worldview. As Shadow Infrastructure Minister in 2015, Albanese unequivocally condemned the 99-year lease of the Port of Darwin to the Chinese-owned Landbridge Group. He called it a "grave error of judgement," specifically citing the company's links to the People's Liberation Army (PLA) and the strategic importance of the asset [1]. This statement serves as the control variable, demonstrating a clear, security-first perspective rooted in a traditional understanding of national interest.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Leader of the Opposition (2019-2022), Albanese's rhetoric softened significantly. He adopted the party's line of criticizing the Coalition's "overblown rhetoric" and began consistently advocating for engagement with China that is "dignified and respectful" [1]. His actions as Prime Minister confirm the capture. A stark example occurred in February 2025, when Chinese warships conducted live-fire exercises in the Tasman Sea with no advance warning. Albanese's public response was muted and de-escalatory; he downplayed the incident, stressing that China was acting within international law [1]. The inversion of his reaction—strong on the commercial deal, weak on the military action—provides compelling evidence of a captured worldview, where the primary imperative is to avoid disrupting the economic relationship.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Albanese government's core foreign policy mantra is to "cooperate where we can, disagree where we must, and engage in our national interest" [1]. This doctrine is the logical endpoint of the ideological shift that began with the political trauma of 2010-2013.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early warning of this vulnerability was the case of Joel Fitzgibbon, Labor's Defence Minister from 2007 to 2009. In 2009, it was revealed that the Defence Department had conducted a covert investigation into Fitzgibbon's relationship with a wealthy Chinese-born woman with past financial ties to Beijing [4]. This extraordinary event indicates that within two years of Labor taking power, Australia's own intelligence apparatus was so concerned about compromise at the highest level of the Defence portfolio via a Chinese vector that it took unprecedented action [4].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Works Cited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"AUKUS." Wikipedia, Wikimedia Foundation, last modified 1 Sep. 2025, </w:t>
      </w:r>
      <w:hyperlink r:id="rId6">
        <w:r w:rsidDel="00000000" w:rsidR="00000000" w:rsidRPr="00000000">
          <w:rPr>
            <w:rFonts w:ascii="Google Sans Text" w:cs="Google Sans Text" w:eastAsia="Google Sans Text" w:hAnsi="Google Sans Text"/>
            <w:color w:val="0b57d0"/>
            <w:u w:val="single"/>
            <w:rtl w:val="0"/>
          </w:rPr>
          <w:t xml:space="preserve">https://en.wikipedia.org/wiki/AUKUS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"Aukus will cost Australia $368bn. What if there was a better, cheaper..." The Guardian, 15 Jun. 2025, </w:t>
      </w:r>
      <w:hyperlink r:id="rId7">
        <w:r w:rsidDel="00000000" w:rsidR="00000000" w:rsidRPr="00000000">
          <w:rPr>
            <w:rFonts w:ascii="Google Sans Text" w:cs="Google Sans Text" w:eastAsia="Google Sans Text" w:hAnsi="Google Sans Text"/>
            <w:color w:val="0b57d0"/>
            <w:u w:val="single"/>
            <w:rtl w:val="0"/>
          </w:rPr>
          <w:t xml:space="preserve">https://www.theguardian.com/world/2025/jun/15/aukus-will-cost-australia-368bn-what-if-there-was-a-better-cheaper-defence-strategy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"AUKUS: nuclear submarines deal will cost Australia up to $368bn." The Guardian, 14 Mar. 2023, </w:t>
      </w:r>
      <w:hyperlink r:id="rId8">
        <w:r w:rsidDel="00000000" w:rsidR="00000000" w:rsidRPr="00000000">
          <w:rPr>
            <w:rFonts w:ascii="Google Sans Text" w:cs="Google Sans Text" w:eastAsia="Google Sans Text" w:hAnsi="Google Sans Text"/>
            <w:color w:val="0b57d0"/>
            <w:u w:val="single"/>
            <w:rtl w:val="0"/>
          </w:rPr>
          <w:t xml:space="preserve">https://www.theguardian.com/world/2023/mar/14/aukus-nuclear-submarines-australia-commits-substantial-funds-into-expanding-us-shipbuilding-capacity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"Carbon pricing in Australia." Wikipedia, Wikimedia Foundation, last modified 30 Aug. 2025, </w:t>
      </w:r>
      <w:hyperlink r:id="rId9">
        <w:r w:rsidDel="00000000" w:rsidR="00000000" w:rsidRPr="00000000">
          <w:rPr>
            <w:rFonts w:ascii="Google Sans Text" w:cs="Google Sans Text" w:eastAsia="Google Sans Text" w:hAnsi="Google Sans Text"/>
            <w:color w:val="0b57d0"/>
            <w:u w:val="single"/>
            <w:rtl w:val="0"/>
          </w:rPr>
          <w:t xml:space="preserve">https://en.wikipedia.org/wiki/Carbon_pricing_in_Australia</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"Kevin Rudd and Australia-China Relations." The China Story, Accessed 1 Sep. 2025, </w:t>
      </w:r>
      <w:hyperlink r:id="rId10">
        <w:r w:rsidDel="00000000" w:rsidR="00000000" w:rsidRPr="00000000">
          <w:rPr>
            <w:rFonts w:ascii="Google Sans Text" w:cs="Google Sans Text" w:eastAsia="Google Sans Text" w:hAnsi="Google Sans Text"/>
            <w:color w:val="0b57d0"/>
            <w:u w:val="single"/>
            <w:rtl w:val="0"/>
          </w:rPr>
          <w:t xml:space="preserve">https://aus.thechinastory.org/archive/kevin-rudd-and-australia-china-relations/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Gillard Government and Australia-China Relations." The China Story, Accessed 1 Sep. 2025, </w:t>
      </w:r>
      <w:hyperlink r:id="rId11">
        <w:r w:rsidDel="00000000" w:rsidR="00000000" w:rsidRPr="00000000">
          <w:rPr>
            <w:rFonts w:ascii="Google Sans Text" w:cs="Google Sans Text" w:eastAsia="Google Sans Text" w:hAnsi="Google Sans Text"/>
            <w:color w:val="0b57d0"/>
            <w:u w:val="single"/>
            <w:rtl w:val="0"/>
          </w:rPr>
          <w:t xml:space="preserve">https://aus.thechinastory.org/archive/the-gillard-government-and-australia-china-relations/</w:t>
        </w:r>
      </w:hyperlink>
      <w:r w:rsidDel="00000000" w:rsidR="00000000" w:rsidRPr="00000000">
        <w:rPr>
          <w:rFonts w:ascii="Google Sans Text" w:cs="Google Sans Text" w:eastAsia="Google Sans Text" w:hAnsi="Google Sans Text"/>
          <w:color w:val="1b1c1d"/>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us.thechinastory.org/archive/the-gillard-government-and-australia-china-relations/" TargetMode="External"/><Relationship Id="rId10" Type="http://schemas.openxmlformats.org/officeDocument/2006/relationships/hyperlink" Target="https://aus.thechinastory.org/archive/kevin-rudd-and-australia-china-relations/" TargetMode="External"/><Relationship Id="rId9" Type="http://schemas.openxmlformats.org/officeDocument/2006/relationships/hyperlink" Target="https://en.wikipedia.org/wiki/Carbon_pricing_in_Australia" TargetMode="External"/><Relationship Id="rId5" Type="http://schemas.openxmlformats.org/officeDocument/2006/relationships/styles" Target="styles.xml"/><Relationship Id="rId6" Type="http://schemas.openxmlformats.org/officeDocument/2006/relationships/hyperlink" Target="https://en.wikipedia.org/wiki/AUKUS" TargetMode="External"/><Relationship Id="rId7" Type="http://schemas.openxmlformats.org/officeDocument/2006/relationships/hyperlink" Target="https://www.theguardian.com/world/2025/jun/15/aukus-will-cost-australia-368bn-what-if-there-was-a-better-cheaper-defence-strategy" TargetMode="External"/><Relationship Id="rId8" Type="http://schemas.openxmlformats.org/officeDocument/2006/relationships/hyperlink" Target="https://www.theguardian.com/world/2023/mar/14/aukus-nuclear-submarines-australia-commits-substantial-funds-into-expanding-us-shipbuilding-capac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