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Policy Proposal: The National Energy Network (NEN)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For consideration by The Australian Greens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 create a future where every Australian has access to free, clean, and reliable electricity as a basic right. The National Energy Network (NEN) is a transformative infrastructure project designed to permanently eliminate residential electricity costs, establish Australia as a global leader in renewable technology, and serve as the foundational pillar for achieving and exceeding our climate targets.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Core Principles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policy is a direct application of the Greens' Four Pillars: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Ecological Sustainability: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NEN is the single most powerful climate policy available to Australia, eliminating the entire carbon footprint of the residential electricity sector and enabling the decarbonisation of transport and industry.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Social Justice: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policy provides universal access to free electricity, treating it as an essential service. It delivers permanent cost-of-living relief to every Australian, regardless of income or location, via a universal rollout and a transitional subsidy mechanism.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Grassroots Democracy: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NEN empowers every household as a producer in a decentralised network, breaking the dependency on centralised, corporate-owned power generation.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Peace and Non-violence: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It builds genuine national security by delivering energy independence, ending our reliance on volatile global markets and securing our critical infrastructure.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The Proposal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NEN will create the world's largest distributed power station through the mass installation of government-owned solar systems on approximately 10 million Australian households. This network will be stabilised by approximately 50,000 community-level batteries integrated with local transformers ("NEN Nodes"), all managed by a sophisticated, AI-driven smart grid to provide unparalleled reliability. The project will be implemented over a pragmatic and de-risked 9-year timeline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Funding Model: An Investment, Not a Cost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total estimated capital cost of the National Energy Network 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~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$94-1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 billion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over the nine-year implementation period.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nation-building investment is significantly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less than the $135 billion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projected to be given in taxpayer-funded subsidies to fossil fuel companies over the same timeframe.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NEN funding model is designed for fiscal responsibility: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It requires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zero new taxes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on Australians.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It is funded by the legislated, phased redirection of existing federal fossil fuel subsidies into a permanent national asset.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project is so financially robust that it becomes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self-funding in its final year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and generates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net surplus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 in funding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which will be held in a legislated public infrastructure and development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support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fund.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Key Policy Commitments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Adoption of this policy commits The Australian Greens to the following core actions: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Establish the NEN: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Legislate the creation of the National Energy Network as a public utility with the mandate to provide free baseline electricity to all Australian households.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Implement the 9-Year Plan: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Formally adopt the 9-year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phased rollout as the primary path to completion, ensuring a sustainable and de-risked implementation.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Fund via Subsidy Redirection: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Mandate the redirection of federal fossil fuel subsidies to the NEN Infrastructure Trust Fund as the primary funding source.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Guarantee Social Equity: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Enshrine the Transitional Subsidy Mechanism in legislation, ensuring universal bill relief is delivered to all households from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year five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four years ahead of project completion.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Build Sovereign Capability: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Utilise the NEN's demand and financial surplus to catalyse a domestic manufacturing industry for key renewable components, including Sodium-Ion batteries, as a core part of the 'Future Made in Australia' policy.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Enable Future Growth: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Establish the NEN Commercial Arm to leverage the network's energy surplus, creating new public revenue streams and driving investment in green industries like green steel and hydrogen.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 Conclusion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National Energy Network is a comprehensive, integrated strategy for national renewal. It is a meticulously planned and fiscally responsible investment that turns a national liability—our expensive, polluting, and fragile grid—into a permanent, productive, and profitable public asset. By adopting the NEN, Australia can secure its energy independence, re-industrialise its economy, and take its place as a true green energy superpower with a prosperous and sustainable future for all its citizens.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