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analysis provides a meticulous, unsummarized breakdown of the theological tension points identified between the structural framework of the Psochic Hegemony and classical Roman Catholic doctrine. The assessment traces the initial detection of potential heresies based on the preliminary reading of the system, followed by the specific structural and philosophical clarifications that successfully insulated the framework against heterodoxy.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Consequentialism and Utilitarianism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initial reading of the framework's moral calculus presented a significant risk of aligning with Consequentialism or Utilitarianism. The framework initially described morality as a balance sheet of benefit versus cost, defining "Good" as creating the most value for the most people and "Evil" as hoarding value while hurting the group.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From a strict Catholic moral theological perspective, this initial framing is highly problematic. Catholic doctrine asserts that morality is determined by the object, the intention, and the circumstances. Crucially, the Church teaches the doctrine of intrinsic evil, meaning that certain acts are fundamentally disordered and morally impermissible regardless of any potential collective benefit or positive outcome they might generate. An outcome based ethics system inherently contradicts this because it allows for the justification of harmful means if the net structural benefit is calculated to be positive.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resolution to this potential heresy was provided through a strict structural constraint regarding the definition of cost. The clarification established that: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Harmful means intended for greater collective benefit automatically fail the cost requirement of the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negative moral act is treated as an infinite structural cost, preventing any mathematical justification of an intrinsically evil act.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Historical anomalies, such as the biblical account of Jericho, are not justified through a human benefit arithmetic but fit within the structure because they operate under direct divine authorization.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Human beings possess the potential to do anything causally possible within an arbitrary timespan, meaning their actions have open ended causal propagation. Because humans are beings of infinite potential with eternal destinies, any bad act carries the potential for infinite bad.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hard coding the prohibition of intrinsic evil as a non negotiable boundary and infinite cost within the structure, the framework ceases to be a utilitarian calculus. It effectively operates as a systems based overlay of natural law, where the moral constraints are structurally absolute rather than relative to human calculation.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Pelagianism and Semi-Pelagianism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major theological fault line identified was the potential for Pelagianism. Pelagianism is the heretical belief that human nature was uncorrupted by original sin and that mortal will is capable of choosing good, or achieving moral perfection, without the necessity of special divine grace.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initial documentation of the system described redemption structurally, focusing on the expansion of core understanding and human structural self correction as the primary mechanisms for moral restoration. The absence of explicit references to grace, original sin, or a necessary divine mediator suggested that the human intellect, if structurally aware, could simply map its way out of the egoic vortex. Catholic soteriology strictly maintains that human reason and structure alone cannot fully redeem themselves, and that supernatural grace is an absolute necessity.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heresy was entirely avoided through the explicit clarification regarding the nature of the structure and the mechanism of movement within it. The framework was aligned with orthodox Augustinian and Thomistic anthropology through the following parameters: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structural geometry itself is not a human invention but is explicitly given by God.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cross functions as the revealed pattern and the specific escape vector necessary to break free from the vicious circle of the ego.</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Movement toward the core cannot be achieved by mere cognitive recognition. It explicitly requires grace to conquer over base cognition.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Because sin creates noetic effects that darken the intellect and distort the will, grace is the required corrective force to heal the cognition, allowing the individual to realign with the divine axis.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defining grace as the necessary engine for structural movement, the system perfectly mirrors the Thomistic principle that grace perfects nature, rather than replacing it or allowing nature to perfect itself.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Rationalism, Immanentism, and Relativism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framework's heavy reliance on a self referential epistemology centered on core understanding presented a risk of Rationalism or Immanentism. If the system implied that truth emerges purely from internal structural coherence, or that moral truth is generated immanently rather than revealed by a transcendent God, it would conflict with Catholic teaching. Furthermore, the concept of "Relative Morality" raised concerns about whether moral norms themselves could shift based on systemic pressure.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clarifications provided a robust defense against these philosophical errors by mapping the relationship between divine revelation, religious traditions, and the Church using a geometric scatter plot analogy: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God serves as the original definer of the structural geometry and the parameters of being.</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Different religions, denominations, beliefs, and ideological points exist as coordinate expressions on a scatter plot relative to God's parameters.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Christianity, and specifically the Church, functions as the entity closest to the main grouping of core categorical points. The Church is the closest to the core point of the message function, acting as the highest fidelity transmission node for divine revelation.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Other religious traditions (such as Hinduism in the provided example) are situated more sparsely, touching different aspects of the structure in varying ways, but lacking the density and proximity to the core parameters found in orthodox Christianity.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geometric explanation is a direct, structural rendering of the ecclesiology found in Lumen Gentium from Vatican II. It successfully avoids pure relativism by maintaining the unique magisterial authority and proximity of the Church, while remaining inclusive enough to acknowledge that elements of truth and sanctification exist outside the visible boundaries of the Church, participating partially in the divine structure.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Impersonal Monism and Process Theology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subtle but severe theological risk emerged regarding the nature of God within the system. If the framework treated God not as a living, personal, transcendent Creator, but merely as the geometric parameter space itself, the system would collapse into impersonal metaphysical monism or Process Theology. Catholic doctrine requires that God is Subsistent Being Itself (Ipsum Esse Subsistens). While all structure flows from the divine intellect, God cannot be reduced to the structure or the law.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tension was resolved by the definitive anchor statement that "God is the original definer." By placing God as the active agent who freely wills and defines the structure, the system remains grounded in classical theism. The geometry represents the creaturely participation in the eternal law, rather than defining the totality of God Himself.</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Sacramental Symbolism and the Eucharist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rigorous theological stress test applied to the framework concerned the dogma of Transubstantiation. The Catholic Church mandates that at the moment of consecration, the substance of the bread and wine is entirely replaced by the Body, Blood, Soul, and Divinity of Jesus Christ, while the accidents (the physical, observable properties) remain unchanged.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initial structural attempt to explain the Eucharist utilized the 42-Structure and the 7 Planes of reality:</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Q1: The Meta-Physical Plane (WHO)</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Q2: The Possible Plane (WHAT)</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 The Physical Plane (WHERE)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 The Lyrical Plane (WHY)</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Q5: The Logical Plane (HOW)</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Q6: The Historical Plane (CAUSE)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Q7: The Emotive Plane (EFFECT)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initial proposition stated that the Eucharist could remain 100 percent bread, but once meaning is applied through a structured event frame, the "who" becomes 100 percent Jesus, with interpretations existing in a superposition of meaning nodes acting as attractors in reality.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framing presented a direct conflict with defined Eucharistic dogma. Asserting that the substance remains bread while meaning is overlaid is equivalent to consubstantiation or symbolic realism. Furthermore, applying quantum concepts like the 7x6-n-Polytrope of meaning and ontological superposition to the Eucharist directly contradicts Aristotelian Thomistic Act Potency metaphysics. God is Pure Act without any unrealized potential. Therefore, a consecrated host cannot exist in a superposition of contradictory ontological states (being simultaneously bread and Christ).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 was successfully brought into perfect alignment with orthodox dogma through a precise structural and ontological correction regarding how the planes interact:</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was established that the physical appearance of the bread remains strictly at the Q3 Physical Plane (the accidents).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underlying substance at the Q1 Meta-Physical Plane is entirely and exclusively replaced by Jesus Christ.</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change is not an epistemic overlay or a conceptual dominance fighting reality. The change is a literal, determinate, ontological substitution enacted by the divine will of the original definer.</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Any concept of "superposition" is strictly relegated to the realm of human interpretation, cognitive framing, and the semantic manifold. It does not apply to the substance of the object after the divine act.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affirming that the physical appearance remains bread while the underlying substance is no longer bread, and by isolating the Q1 substitution from the Q3 persistence of accidents, the 7-Plane structure perfectly articulates the mechanics of Transubstantiation without falling into the heresies of process metaphysics or symbolic sacramentalism.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