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Structurally Mediated Capitalism: The Thermodynamic Engine of Debt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The Redefinition of Capital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Structurally Mediated Capitalism is not the abolition of private capital, nor is it a transition to state-planned socialism. It is the rescue of the market mechanism from its own terminal phase space.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Orthodox capitalism relies on retroactive, subjective, and highly lobbied state bureaucracy to mitigate market failures. It allows localized extraction to proceed until the systemic damage threatens the state, at which point an inefficient legislative patch is applied. This is state-mediated capitalism.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Structurally Mediated Capitalism replaces subjective legislative mediation with objective algorithmic governance. It introduces a thermodynamic governor directly into the clearing protocol of the transaction. By utilizing the Universal Force Equation of Price and the Reality Tensor (𝐑), the system pre-emptively identifies when the Lorentz coercion factor (γ) is being weaponized against absolute Scarcity (S) and Urgency (U). It preserves the market's capacity to allocate resources while mathematically forbidding the extraction of unearned kinetic energy from biological necessity.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this framework, the fundamental nature of debt undergoes a total topological inversion. Debt ceases to be a perpetual, compounding trap designed to farm human entropy. It becomes a strict, one-way thermodynamic funnel: a temporary injection of initiation energy (+v) designed exclusively to drive a try block to completion, generating a permanent expansion of the system's total reality radius (r).</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The Fallacy of the Orthodox Debt Loop</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orthodox model, a loan is issued as a fiat principal. The lending node then applies a recursive mathematical function (e^(+rt)) to that principal, generating compounding interest.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structure contains a fatal thermodynamic violation. The Reality Tensor (𝐑) of the physical universe is bounded. A borrower's capacity to generate caloric and economic output is finite. However, the e^(+rt) curve demands continuous, exponential growth from the borrower's output, entirely disconnected from any ongoing provision of value by the lender.</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Generation of Catch-Block Money:</w:t>
      </w:r>
      <w:r w:rsidDel="00000000" w:rsidR="00000000" w:rsidRPr="00000000">
        <w:rPr>
          <w:rFonts w:ascii="Google Sans" w:cs="Google Sans" w:eastAsia="Google Sans" w:hAnsi="Google Sans"/>
          <w:color w:val="1f1f1f"/>
          <w:rtl w:val="0"/>
        </w:rPr>
        <w:t xml:space="preserve"> As the interest compounds above the lender's legitimate cost of funds, it generates "catch-block" money. This is fiat currency claimed on a ledger without any corresponding time × value ((tv)²) provision.</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Export of Entropy:</w:t>
      </w:r>
      <w:r w:rsidDel="00000000" w:rsidR="00000000" w:rsidRPr="00000000">
        <w:rPr>
          <w:rFonts w:ascii="Google Sans" w:cs="Google Sans" w:eastAsia="Google Sans" w:hAnsi="Google Sans"/>
          <w:color w:val="1f1f1f"/>
          <w:rtl w:val="0"/>
        </w:rPr>
        <w:t xml:space="preserve"> To service this abstract mathematical demand, the borrower is forced to export entropy. They must liquidate their physical health, defer maintenance on their infrastructure, or aggressively extract from their local environment to feed the compounding abstraction.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Perpetual Cage:</w:t>
      </w:r>
      <w:r w:rsidDel="00000000" w:rsidR="00000000" w:rsidRPr="00000000">
        <w:rPr>
          <w:rFonts w:ascii="Google Sans" w:cs="Google Sans" w:eastAsia="Google Sans" w:hAnsi="Google Sans"/>
          <w:color w:val="1f1f1f"/>
          <w:rtl w:val="0"/>
        </w:rPr>
        <w:t xml:space="preserve"> The orthodox loan is not designed to complete a project; it is designed to keep the project indefinitely tethered to the creditor. The system calculates the worth of the value by how successfully it restricts the borrower's future possibilities.</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 The Thermodynamic Restructuring of Debt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Structurally Mediated Capitalism corrects this violation by bifurcating the debt obligation into two mathematically distinct vectors: the Statutory Face Price and the Extraction Premium.</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Equation of Mediated Obligation: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Obligation(t) = C_{base} + E_{premium} \cdot e^{-\lambda 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Statutory Face Price (C_base)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C_base represents the true, conserved thermodynamic input of the capitalist. It consists of the raw asset value, the actual cost of funds, the operational overhead, and a rigorously calculated actuarial risk factor.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component is </w:t>
      </w:r>
      <w:r w:rsidDel="00000000" w:rsidR="00000000" w:rsidRPr="00000000">
        <w:rPr>
          <w:rFonts w:ascii="Google Sans" w:cs="Google Sans" w:eastAsia="Google Sans" w:hAnsi="Google Sans"/>
          <w:b w:val="1"/>
          <w:bCs w:val="1"/>
          <w:color w:val="1f1f1f"/>
          <w:rtl w:val="0"/>
        </w:rPr>
        <w:t xml:space="preserve">strictly conserved</w:t>
      </w:r>
      <w:r w:rsidDel="00000000" w:rsidR="00000000" w:rsidRPr="00000000">
        <w:rPr>
          <w:rFonts w:ascii="Google Sans" w:cs="Google Sans" w:eastAsia="Google Sans" w:hAnsi="Google Sans"/>
          <w:color w:val="1f1f1f"/>
          <w:rtl w:val="0"/>
        </w:rPr>
        <w:t xml:space="preserve">. The system absolutely guarantees the capitalist will recover their C_base. This is the necessary incentive structure of the market. The provider of capital took a physical risk to inject initiation energy into the system, and the system indemnifies that physical input.</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Extraction Premium (E_premium)</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E_premium is the surplus nominal debt generated exclusively by the urgency velocity (v_rel) and the Lorentz distortion (γ). It is the portion of the interest rate or price tag that exists simply because the borrower had no alternatives (Ra → 1).</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Structurally Mediated Capitalism, the E_premium is subjected to the decay function e^(-λt). This decay is not an arbitrary forgiveness of debt. The decay (λ) is explicitly tied to the borrower's generation of actual reality content and the completion of the project.</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III. The One-Way Funnel and the try Block</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Debt in this system acts as a one-way funnel of thermodynamic energy. The capital is deployed to initiate a project. The objective is to push the action through the try { is^is } block, resulting in a completed, functioning node that expands the total resilience of the system.</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borrower utilizes the loan to successfully build infrastructure, open a business, or stabilize a community, they are generating immense value across the 7 Planes of Reality (specifically the Lyrical, Historical, and Emotive planes). They are lowering the systemic Scarcity (S) and Urgency (U) for their surrounding environment.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system as a whole has grown, the thermodynamic debt is cleared by the newly created reality.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Mechanism of Decay: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borrower successfully executes the project and creates verifiable systemic resilience, they generate Civic Credits. These credits act as the λ parameter. The system algorithmically absorbs the E_premium against the ledger of the newly created public good.</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The capitalist receives their full C_base return in fiat currency, allowing them to redeploy their capital into new ventures.</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borrower is freed from the exponential e^(+rt) trap, retaining the physical infrastructure they built.</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total system retains a newly stabilized, high-yield node.</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thermodynamic circle closes: $t^2 + v^2 = r^2$. The time and value injected by the loan were converted cleanly into a larger radius of reality, rather than ionizing into destructive systemic friction.</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IV. The Algorithmic Checksum: The H-Score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the deployment of capital into extractive, zero-sum ventures (such as speculative land banking or predatory payday lending), all institutional capital deployment must clear the Hegemonic Alignment Score (H-Score) protocol.</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a capital transfer clears, the algorithm calculates the project's projected impact on the local Reality Tensor:</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Does the project reduce absolute S or U?</w:t>
      </w:r>
      <w:r w:rsidDel="00000000" w:rsidR="00000000" w:rsidRPr="00000000">
        <w:rPr>
          <w:rFonts w:ascii="Google Sans" w:cs="Google Sans" w:eastAsia="Google Sans" w:hAnsi="Google Sans"/>
          <w:color w:val="1f1f1f"/>
          <w:rtl w:val="0"/>
        </w:rPr>
        <w:t xml:space="preserve"> (e.g., building localized housing or water filtration).</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Does the project increase Rn (Renewability)?</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Is the v_rel between the lender and the borrower operating within consensual, non-coercive bounds?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 project's objective is to buy an existing, finite resource and hold it hostage to spike S and extract a higher E_premium, the H-Score registers a hostile vector (Greater Evil quadrant). The localized Static Friction (μ_s) for that transaction is algorithmically maximized. The network structurally rejects the loan, starving the extractive action of capital.</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 Regional Application: The Coonabarabran Proof</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demonstrate the physical mechanics of this structure, we map a localized infrastructure project in the geographic coordinate of Coonabarabran, New South Wales.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Scenario:</w:t>
      </w:r>
      <w:r w:rsidDel="00000000" w:rsidR="00000000" w:rsidRPr="00000000">
        <w:rPr>
          <w:rFonts w:ascii="Google Sans" w:cs="Google Sans" w:eastAsia="Google Sans" w:hAnsi="Google Sans"/>
          <w:color w:val="1f1f1f"/>
          <w:rtl w:val="0"/>
        </w:rPr>
        <w:t xml:space="preserve"> A local cooperative requires $50 million to construct a decentralized solar microgrid and an advanced agricultural water recycling facility.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Orthodox Capital Assessment: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central algorithm registers Coonabarabran's low population density. It calculates the high physical logistics cost (Density 3) and the high specialist premium (Density 5). Because the fiat revenue base is small, the Benefit-Cost Ratio (BCR) is calculated at 0.6. The orthodox ledger rejects the loan. The town remains dependent on the fragile national grid, its S and U parameters remain artificially high, and the population continues a slow demographic bleed toward Sydney, compounding the metropolitan housing crisis.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Structurally Mediated Assessment: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H-Score algorithm evaluates the cooperative's proposal across all 7 planes of the Q-tensor.</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Physical/Logical (D3/D5):</w:t>
      </w:r>
      <w:r w:rsidDel="00000000" w:rsidR="00000000" w:rsidRPr="00000000">
        <w:rPr>
          <w:rFonts w:ascii="Google Sans" w:cs="Google Sans" w:eastAsia="Google Sans" w:hAnsi="Google Sans"/>
          <w:color w:val="1f1f1f"/>
          <w:rtl w:val="0"/>
        </w:rPr>
        <w:t xml:space="preserve"> Identifies the $50 million C_base requirement.</w:t>
      </w:r>
    </w:p>
    <w:p w:rsidR="00000000" w:rsidDel="00000000" w:rsidP="00000000" w:rsidRDefault="00000000" w:rsidRPr="00000000" w14:paraId="0000003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Reality Tensor (𝐑):</w:t>
      </w:r>
      <w:r w:rsidDel="00000000" w:rsidR="00000000" w:rsidRPr="00000000">
        <w:rPr>
          <w:rFonts w:ascii="Google Sans" w:cs="Google Sans" w:eastAsia="Google Sans" w:hAnsi="Google Sans"/>
          <w:color w:val="1f1f1f"/>
          <w:rtl w:val="0"/>
        </w:rPr>
        <w:t xml:space="preserve"> The project drives the localized Scarcity of water and energy (S) toward zero. It maximizes the Renewability index (Rn → ∞).</w:t>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Systemic Arbitrage (D7 Emotive/Resonance):</w:t>
      </w:r>
      <w:r w:rsidDel="00000000" w:rsidR="00000000" w:rsidRPr="00000000">
        <w:rPr>
          <w:rFonts w:ascii="Google Sans" w:cs="Google Sans" w:eastAsia="Google Sans" w:hAnsi="Google Sans"/>
          <w:color w:val="1f1f1f"/>
          <w:rtl w:val="0"/>
        </w:rPr>
        <w:t xml:space="preserve"> The algorithm calculates the avoidance cost. By stabilizing Coonabarabran, the system prevents the thermodynamic friction of internal migration. It preserves the unique identity vector (D1 Metaphysical) of the agricultural node.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Resolution: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H-Score registers a massive positive vector (+v, +ψ). The true BCR is calculated at &gt; 3.0.</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capital is deployed through the one-way funnel. The cooperative builds the grid. Because the project successfully lowered the environmental Reality Tensor constraints for an entire geographic node, the E_premium (the institutional interest rate) is aggressively decayed by the generated Civic Credits.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capitalist node recovers its $50 million C_base safely. Coonabarabran owns a debt-free microgrid. The system as a whole expanded its physical and economic resilience. The capital was successfully mediated by the structure of reality.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