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z4a4zep39n7" w:id="0"/>
      <w:bookmarkEnd w:id="0"/>
      <w:r w:rsidDel="00000000" w:rsidR="00000000" w:rsidRPr="00000000">
        <w:rPr>
          <w:rtl w:val="0"/>
        </w:rPr>
        <w:t xml:space="preserve">Editorial Submission Cover Letter</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br w:type="textWrapping"/>
        <w:t xml:space="preserve">Editor-in-Chief</w:t>
        <w:br w:type="textWrapping"/>
      </w:r>
      <w:r w:rsidDel="00000000" w:rsidR="00000000" w:rsidRPr="00000000">
        <w:rPr>
          <w:i w:val="1"/>
          <w:iCs w:val="1"/>
          <w:rtl w:val="0"/>
        </w:rPr>
        <w:t xml:space="preserve">Ecological Economics</w:t>
      </w:r>
      <w:r w:rsidDel="00000000" w:rsidR="00000000" w:rsidRPr="00000000">
        <w:rPr>
          <w:rtl w:val="0"/>
        </w:rPr>
        <w:t xml:space="preserve"> (Elsevier)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October 6, 2026</w:t>
        <w:br w:type="textWrapping"/>
      </w:r>
      <w:r w:rsidDel="00000000" w:rsidR="00000000" w:rsidRPr="00000000">
        <w:rPr>
          <w:b w:val="1"/>
          <w:bCs w:val="1"/>
          <w:rtl w:val="0"/>
        </w:rPr>
        <w:t xml:space="preserve">From:</w:t>
      </w:r>
      <w:r w:rsidDel="00000000" w:rsidR="00000000" w:rsidRPr="00000000">
        <w:rPr>
          <w:rtl w:val="0"/>
        </w:rPr>
        <w:br w:type="textWrapping"/>
        <w:t xml:space="preserve">Jarrod Lyndsay Hamilton</w:t>
        <w:br w:type="textWrapping"/>
        <w:t xml:space="preserve">Alethekanon Research Institute</w:t>
        <w:br w:type="textWrapping"/>
        <w:t xml:space="preserve">Division 2: Societal Economics &amp; Macro-Micro Simulation</w:t>
        <w:br w:type="textWrapping"/>
        <w:t xml:space="preserve">Australia</w:t>
        <w:br w:type="textWrapping"/>
        <w:t xml:space="preserve">Email: </w:t>
      </w:r>
      <w:hyperlink r:id="rId6">
        <w:r w:rsidDel="00000000" w:rsidR="00000000" w:rsidRPr="00000000">
          <w:rPr>
            <w:color w:val="1155cc"/>
            <w:u w:val="single"/>
            <w:rtl w:val="0"/>
          </w:rPr>
          <w:t xml:space="preserve">jarrod@alethekanon.org</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Subject:</w:t>
      </w:r>
      <w:r w:rsidDel="00000000" w:rsidR="00000000" w:rsidRPr="00000000">
        <w:rPr>
          <w:rtl w:val="0"/>
        </w:rPr>
        <w:t xml:space="preserve"> Submission of Original Research Article: </w:t>
      </w:r>
      <w:r w:rsidDel="00000000" w:rsidR="00000000" w:rsidRPr="00000000">
        <w:rPr>
          <w:i w:val="1"/>
          <w:iCs w:val="1"/>
          <w:rtl w:val="0"/>
        </w:rPr>
        <w:t xml:space="preserve">"Empirical Case Study: Real-World Pricing and RRP/D Fairness Audit — Food, Fuel, Energy, and Shelter Materials"</w:t>
      </w:r>
      <w:r w:rsidDel="00000000" w:rsidR="00000000" w:rsidRPr="00000000">
        <w:rPr>
          <w:rtl w:val="0"/>
        </w:rPr>
        <w:t xml:space="preserve"> (Deliverable ID: </w:t>
      </w:r>
      <w:r w:rsidDel="00000000" w:rsidR="00000000" w:rsidRPr="00000000">
        <w:rPr>
          <w:rFonts w:ascii="Roboto Mono" w:cs="Roboto Mono" w:eastAsia="Roboto Mono" w:hAnsi="Roboto Mono"/>
          <w:color w:val="188038"/>
          <w:rtl w:val="0"/>
        </w:rPr>
        <w:t xml:space="preserve">VPE-55</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Dear Editor-in-Chief,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am pleased to submit our original empirical research article, titled </w:t>
      </w:r>
      <w:r w:rsidDel="00000000" w:rsidR="00000000" w:rsidRPr="00000000">
        <w:rPr>
          <w:b w:val="1"/>
          <w:bCs w:val="1"/>
          <w:rtl w:val="0"/>
        </w:rPr>
        <w:t xml:space="preserve">"Empirical Case Study: Real-World Pricing and RRP/D Fairness Audit — Food, Fuel, Energy, and Shelter Materials"</w:t>
      </w:r>
      <w:r w:rsidDel="00000000" w:rsidR="00000000" w:rsidRPr="00000000">
        <w:rPr>
          <w:rtl w:val="0"/>
        </w:rPr>
        <w:t xml:space="preserve">, for consideration for publication in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00B">
      <w:pPr>
        <w:pStyle w:val="Heading3"/>
        <w:rPr/>
      </w:pPr>
      <w:bookmarkStart w:colFirst="0" w:colLast="0" w:name="_ut7e0n2scd7r" w:id="1"/>
      <w:bookmarkEnd w:id="1"/>
      <w:r w:rsidDel="00000000" w:rsidR="00000000" w:rsidRPr="00000000">
        <w:rPr>
          <w:rtl w:val="0"/>
        </w:rPr>
        <w:t xml:space="preserve">Background &amp; Scientific Contribution</w:t>
      </w:r>
    </w:p>
    <w:p w:rsidR="00000000" w:rsidDel="00000000" w:rsidP="00000000" w:rsidRDefault="00000000" w:rsidRPr="00000000" w14:paraId="0000000C">
      <w:pPr>
        <w:rPr/>
      </w:pPr>
      <w:r w:rsidDel="00000000" w:rsidR="00000000" w:rsidRPr="00000000">
        <w:rPr>
          <w:rtl w:val="0"/>
        </w:rPr>
        <w:t xml:space="preserve">Standard neoclassical microeconomic doctrine treats market price as an unobservable, subjective equilibrium scalar ($P = f(S, D)$), assuming that market transactions reflect voluntary utility maximization and allocative efficiency. However, this framework suffers from fundamental physical blind spots: it conceals irreversible thermodynamic exergy destruction, human metabolic labor exhaustion, and the asymmetric survival coercion inherent in purchasing non-discretionary subsistence goods.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Building on the theoretical foundations of Value Physics (</w:t>
      </w:r>
      <w:r w:rsidDel="00000000" w:rsidR="00000000" w:rsidRPr="00000000">
        <w:rPr>
          <w:i w:val="1"/>
          <w:iCs w:val="1"/>
          <w:rtl w:val="0"/>
        </w:rPr>
        <w:t xml:space="preserve">Hamilton, 2026</w:t>
      </w:r>
      <w:r w:rsidDel="00000000" w:rsidR="00000000" w:rsidRPr="00000000">
        <w:rPr>
          <w:rtl w:val="0"/>
        </w:rPr>
        <w:t xml:space="preserve">), this paper delivers the first complete empirical operationalization of the </w:t>
      </w:r>
      <w:r w:rsidDel="00000000" w:rsidR="00000000" w:rsidRPr="00000000">
        <w:rPr>
          <w:b w:val="1"/>
          <w:bCs w:val="1"/>
          <w:rtl w:val="0"/>
        </w:rPr>
        <w:t xml:space="preserve">Universal Price Equation (UPE)</w:t>
      </w:r>
      <w:r w:rsidDel="00000000" w:rsidR="00000000" w:rsidRPr="00000000">
        <w:rPr>
          <w:rtl w:val="0"/>
        </w:rPr>
        <w:t xml:space="preserve">: $$P = m_1 \cdot m_2 \cdot \gamma(v_{\text{rel}}) \cdot \left[ \frac{S \cdot U}{R_n (1 - R_a)} \right] + P_e + P_b$$ We construct forward biophysical prices from the ground up and reverse-engineer observed commercial Recommended Retail Prices (RRP) across </w:t>
      </w:r>
      <w:r w:rsidDel="00000000" w:rsidR="00000000" w:rsidRPr="00000000">
        <w:rPr>
          <w:b w:val="1"/>
          <w:bCs w:val="1"/>
          <w:rtl w:val="0"/>
        </w:rPr>
        <w:t xml:space="preserve">twelve foundational necessities</w:t>
      </w:r>
      <w:r w:rsidDel="00000000" w:rsidR="00000000" w:rsidRPr="00000000">
        <w:rPr>
          <w:rtl w:val="0"/>
        </w:rPr>
        <w:t xml:space="preserve"> spanning six essential sectors in eastern Australia: Food, Agriculture, Liquid Fuels, Power Utilities, Municipal Water/Sanitation, Building Materials, and Spatial Freight Logistics.</w:t>
      </w:r>
    </w:p>
    <w:p w:rsidR="00000000" w:rsidDel="00000000" w:rsidP="00000000" w:rsidRDefault="00000000" w:rsidRPr="00000000" w14:paraId="0000000F">
      <w:pPr>
        <w:pStyle w:val="Heading3"/>
        <w:rPr/>
      </w:pPr>
      <w:bookmarkStart w:colFirst="0" w:colLast="0" w:name="_msb935x630t8" w:id="2"/>
      <w:bookmarkEnd w:id="2"/>
      <w:r w:rsidDel="00000000" w:rsidR="00000000" w:rsidRPr="00000000">
        <w:rPr>
          <w:rtl w:val="0"/>
        </w:rPr>
        <w:t xml:space="preserve">Key Empirical Findings</w:t>
      </w:r>
    </w:p>
    <w:p w:rsidR="00000000" w:rsidDel="00000000" w:rsidP="00000000" w:rsidRDefault="00000000" w:rsidRPr="00000000" w14:paraId="00000010">
      <w:pPr>
        <w:rPr/>
      </w:pPr>
      <w:r w:rsidDel="00000000" w:rsidR="00000000" w:rsidRPr="00000000">
        <w:rPr>
          <w:rtl w:val="0"/>
        </w:rPr>
        <w:t xml:space="preserve">Grounded in official microdata from the Australian Bureau of Agricultural and Resource Economics and Sciences (ABARES), the Australian Bureau of Statistics (ABS), the Australian Energy Market Operator (AEMO), the Australian Competition and Consumer Commission (ACCC), the National Heavy Vehicle Regulator (NHVR), and regional municipal councils, our findings reveal three distinct macroeconomic pricing regimes: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Public and Municipal Essential Services (Bulk Water Cartage &amp; Domestic Waste Collection):</w:t>
      </w:r>
      <w:r w:rsidDel="00000000" w:rsidR="00000000" w:rsidRPr="00000000">
        <w:rPr>
          <w:rtl w:val="0"/>
        </w:rPr>
        <w:t xml:space="preserve"> Characterized by high Biophysical Fairness Indices (86.3%–91.1%) and low extractive drag ($R_a = 20.8% - 27.0%$). Pricing in these sectors directly tracks thermodynamic haulage exergy ($P_e$) and operator driving exertion ($U$), providing an uncorrupted biophysical baseline.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Agricultural Subsistence Staples (Bread, Wheat, Milk):</w:t>
      </w:r>
      <w:r w:rsidDel="00000000" w:rsidR="00000000" w:rsidRPr="00000000">
        <w:rPr>
          <w:rtl w:val="0"/>
        </w:rPr>
        <w:t xml:space="preserve"> Exhibit intermediate extractive drag ($R_a = 34.2% - 43.0%$) and moderate fairness (73.8%–79.5%), driven by supermarket duopoly shelf slotting tolls and processor oligopsonies that compress farmgate returns below reproduction costs.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Corporate and Monopolistic Enclosures (Diesel Fuel, Steel Mesh, Ready-Mix Concrete, Grid Electricity, Structural Timber, and Road Freight):</w:t>
      </w:r>
      <w:r w:rsidDel="00000000" w:rsidR="00000000" w:rsidRPr="00000000">
        <w:rPr>
          <w:rtl w:val="0"/>
        </w:rPr>
        <w:t xml:space="preserve"> Characterized by severe extractive drag ($R_a = 41.4% - 59.1%$) and compressed Fairness Indices (71.1%–77.8%). Across residential housing construction materials (Timber, Concrete, Steel), unearned distributor rents and oligopolistic markups account for over 45% of total material costs. Road freight logistics imposes an unprecedented 59.1% broker toll that cascades compound inflation into every downstream physical necessity.</w:t>
      </w:r>
    </w:p>
    <w:p w:rsidR="00000000" w:rsidDel="00000000" w:rsidP="00000000" w:rsidRDefault="00000000" w:rsidRPr="00000000" w14:paraId="00000015">
      <w:pPr>
        <w:pStyle w:val="Heading3"/>
        <w:rPr/>
      </w:pPr>
      <w:bookmarkStart w:colFirst="0" w:colLast="0" w:name="_v1z1xaqdg7u8" w:id="3"/>
      <w:bookmarkEnd w:id="3"/>
      <w:r w:rsidDel="00000000" w:rsidR="00000000" w:rsidRPr="00000000">
        <w:rPr>
          <w:rtl w:val="0"/>
        </w:rPr>
        <w:t xml:space="preserve">Practical &amp; Policy Relevance</w:t>
      </w:r>
    </w:p>
    <w:p w:rsidR="00000000" w:rsidDel="00000000" w:rsidP="00000000" w:rsidRDefault="00000000" w:rsidRPr="00000000" w14:paraId="00000016">
      <w:pPr>
        <w:rPr/>
      </w:pPr>
      <w:r w:rsidDel="00000000" w:rsidR="00000000" w:rsidRPr="00000000">
        <w:rPr>
          <w:rtl w:val="0"/>
        </w:rPr>
        <w:t xml:space="preserve">By establishing an objective </w:t>
      </w:r>
      <w:r w:rsidDel="00000000" w:rsidR="00000000" w:rsidRPr="00000000">
        <w:rPr>
          <w:b w:val="1"/>
          <w:bCs w:val="1"/>
          <w:rtl w:val="0"/>
        </w:rPr>
        <w:t xml:space="preserve">Recommended Retail Price based on Difficulty (RRP/D)</w:t>
      </w:r>
      <w:r w:rsidDel="00000000" w:rsidR="00000000" w:rsidRPr="00000000">
        <w:rPr>
          <w:rtl w:val="0"/>
        </w:rPr>
        <w:t xml:space="preserve">, this paper provides regulatory bodies (such as the ACCC) and community cooperative institutions (Cohesive Villages / Sovereign Mutual Credit Unions) with an ungameable, physically grounded standard to audit retail price gouging, enforce non-usurious commercial price corridors, and decouple essential goods from speculative financial exchanges.</w:t>
      </w:r>
    </w:p>
    <w:p w:rsidR="00000000" w:rsidDel="00000000" w:rsidP="00000000" w:rsidRDefault="00000000" w:rsidRPr="00000000" w14:paraId="00000017">
      <w:pPr>
        <w:pStyle w:val="Heading3"/>
        <w:rPr/>
      </w:pPr>
      <w:bookmarkStart w:colFirst="0" w:colLast="0" w:name="_tcrgcb4j0acb" w:id="4"/>
      <w:bookmarkEnd w:id="4"/>
      <w:r w:rsidDel="00000000" w:rsidR="00000000" w:rsidRPr="00000000">
        <w:rPr>
          <w:rtl w:val="0"/>
        </w:rPr>
        <w:t xml:space="preserve">Manuscript Metadata &amp; Compliance</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Word Count:</w:t>
      </w:r>
      <w:r w:rsidDel="00000000" w:rsidR="00000000" w:rsidRPr="00000000">
        <w:rPr>
          <w:rtl w:val="0"/>
        </w:rPr>
        <w:t xml:space="preserve"> ~6,500 words of formal expository text.</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Display Items:</w:t>
      </w:r>
      <w:r w:rsidDel="00000000" w:rsidR="00000000" w:rsidRPr="00000000">
        <w:rPr>
          <w:rtl w:val="0"/>
        </w:rPr>
        <w:t xml:space="preserve"> 1 Master Comparative Audit Table, 2 High-Resolution 300 DPI Publication Figures (</w:t>
      </w:r>
      <w:r w:rsidDel="00000000" w:rsidR="00000000" w:rsidRPr="00000000">
        <w:rPr>
          <w:rFonts w:ascii="Roboto Mono" w:cs="Roboto Mono" w:eastAsia="Roboto Mono" w:hAnsi="Roboto Mono"/>
          <w:color w:val="188038"/>
          <w:rtl w:val="0"/>
        </w:rPr>
        <w:t xml:space="preserve">figure1_biophysical_breakdown.png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figure2_sclerosis_spectrum.png</w:t>
      </w:r>
      <w:r w:rsidDel="00000000" w:rsidR="00000000" w:rsidRPr="00000000">
        <w:rPr>
          <w:rtl w:val="0"/>
        </w:rPr>
        <w:t xml:space="preserve">).</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Computational Reproducibility:</w:t>
      </w:r>
      <w:r w:rsidDel="00000000" w:rsidR="00000000" w:rsidRPr="00000000">
        <w:rPr>
          <w:rtl w:val="0"/>
        </w:rPr>
        <w:t xml:space="preserve"> All findings are 100% reproducible via the open-source Python solver </w:t>
      </w:r>
      <w:r w:rsidDel="00000000" w:rsidR="00000000" w:rsidRPr="00000000">
        <w:rPr>
          <w:rFonts w:ascii="Roboto Mono" w:cs="Roboto Mono" w:eastAsia="Roboto Mono" w:hAnsi="Roboto Mono"/>
          <w:color w:val="188038"/>
          <w:rtl w:val="0"/>
        </w:rPr>
        <w:t xml:space="preserve">rrp_fairness_audit.py</w:t>
      </w:r>
      <w:r w:rsidDel="00000000" w:rsidR="00000000" w:rsidRPr="00000000">
        <w:rPr>
          <w:rtl w:val="0"/>
        </w:rPr>
        <w:t xml:space="preserve"> (verified with an automated unit test suite passing 5/5 tests).</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Authorship &amp; Conflicts of Interest:</w:t>
      </w:r>
      <w:r w:rsidDel="00000000" w:rsidR="00000000" w:rsidRPr="00000000">
        <w:rPr>
          <w:rtl w:val="0"/>
        </w:rPr>
        <w:t xml:space="preserve"> This manuscript is original, has not been published previously, and is not under consideration elsewhere. The author declares no competing financial interests.</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Open Access &amp; Data Availability:</w:t>
      </w:r>
      <w:r w:rsidDel="00000000" w:rsidR="00000000" w:rsidRPr="00000000">
        <w:rPr>
          <w:rtl w:val="0"/>
        </w:rPr>
        <w:t xml:space="preserve"> All data and code are licensed under Creative Commons Attribution 4.0 International (CC-BY 4.0).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Thank you for your consideration of this work. We look forward to the peer review process.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Sincerely,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Jarrod Lyndsay Hamilton</w:t>
      </w:r>
      <w:r w:rsidDel="00000000" w:rsidR="00000000" w:rsidRPr="00000000">
        <w:rPr>
          <w:rtl w:val="0"/>
        </w:rPr>
        <w:br w:type="textWrapping"/>
        <w:t xml:space="preserve">Lead Researcher, Division 2: Societal Economics &amp; Macro-Micro Simulation</w:t>
        <w:br w:type="textWrapping"/>
        <w:t xml:space="preserve">Alethekanon Research Institute</w:t>
        <w:br w:type="textWrapping"/>
        <w:t xml:space="preserve">Australia</w:t>
        <w:br w:type="textWrapping"/>
        <w:t xml:space="preserve">Email: </w:t>
      </w:r>
      <w:hyperlink r:id="rId7">
        <w:r w:rsidDel="00000000" w:rsidR="00000000" w:rsidRPr="00000000">
          <w:rPr>
            <w:color w:val="1155cc"/>
            <w:u w:val="single"/>
            <w:rtl w:val="0"/>
          </w:rPr>
          <w:t xml:space="preserve">jarrod@alethekanon.org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rrod@alethekanon.org" TargetMode="External"/><Relationship Id="rId7" Type="http://schemas.openxmlformats.org/officeDocument/2006/relationships/hyperlink" Target="mailto:jarrod@alethekan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