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3jt243wn2vp" w:id="0"/>
      <w:bookmarkEnd w:id="0"/>
      <w:r w:rsidDel="00000000" w:rsidR="00000000" w:rsidRPr="00000000">
        <w:rPr>
          <w:b w:val="1"/>
          <w:bCs w:val="1"/>
          <w:rtl w:val="0"/>
        </w:rPr>
        <w:t xml:space="preserve">Municipal Briefing Paper: Implementing Sovereign Credit Unions, Form SCU-A1 Refinancing, and Regional Commodity Buffers</w:t>
      </w:r>
      <w:r w:rsidDel="00000000" w:rsidR="00000000" w:rsidRPr="00000000">
        <w:rPr>
          <w:rtl w:val="0"/>
        </w:rPr>
      </w:r>
    </w:p>
    <w:p w:rsidR="00000000" w:rsidDel="00000000" w:rsidP="00000000" w:rsidRDefault="00000000" w:rsidRPr="00000000" w14:paraId="00000002">
      <w:pPr>
        <w:pStyle w:val="Heading1"/>
        <w:rPr/>
      </w:pPr>
      <w:bookmarkStart w:colFirst="0" w:colLast="0" w:name="_9bfbf56ytgo3" w:id="1"/>
      <w:bookmarkEnd w:id="1"/>
      <w:r w:rsidDel="00000000" w:rsidR="00000000" w:rsidRPr="00000000">
        <w:rPr>
          <w:b w:val="1"/>
          <w:bCs w:val="1"/>
          <w:rtl w:val="0"/>
        </w:rPr>
        <w:t xml:space="preserve">A Statutory and Operational Guide for Regional Mayors, Shire Councillors, and General Managers under Section 358 of the Local Government Act 1993 (NSW)</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Institutional Reference:</w:t>
      </w:r>
      <w:r w:rsidDel="00000000" w:rsidR="00000000" w:rsidRPr="00000000">
        <w:rPr>
          <w:rtl w:val="0"/>
        </w:rPr>
        <w:t xml:space="preserve"> ARI-VPE-MBP-2026-01 | </w:t>
      </w:r>
      <w:r w:rsidDel="00000000" w:rsidR="00000000" w:rsidRPr="00000000">
        <w:rPr>
          <w:b w:val="1"/>
          <w:bCs w:val="1"/>
          <w:rtl w:val="0"/>
        </w:rPr>
        <w:t xml:space="preserve">Registry ID:</w:t>
      </w:r>
      <w:r w:rsidDel="00000000" w:rsidR="00000000" w:rsidRPr="00000000">
        <w:rPr>
          <w:rtl w:val="0"/>
        </w:rPr>
        <w:t xml:space="preserve"> VPE-46</w:t>
        <w:br w:type="textWrapping"/>
      </w:r>
      <w:r w:rsidDel="00000000" w:rsidR="00000000" w:rsidRPr="00000000">
        <w:rPr>
          <w:b w:val="1"/>
          <w:bCs w:val="1"/>
          <w:rtl w:val="0"/>
        </w:rPr>
        <w:t xml:space="preserve">Author:</w:t>
      </w:r>
      <w:r w:rsidDel="00000000" w:rsidR="00000000" w:rsidRPr="00000000">
        <w:rPr>
          <w:rtl w:val="0"/>
        </w:rPr>
        <w:t xml:space="preserve"> Alethekanon Research Institute — Division 2: Societal Economics &amp; Macro-Micro Simulation</w:t>
        <w:br w:type="textWrapping"/>
        <w:t xml:space="preserve">Location: Coonabarabran, New South Wales, Australia | </w:t>
      </w:r>
      <w:r w:rsidDel="00000000" w:rsidR="00000000" w:rsidRPr="00000000">
        <w:rPr>
          <w:b w:val="1"/>
          <w:bCs w:val="1"/>
          <w:rtl w:val="0"/>
        </w:rPr>
        <w:t xml:space="preserve">Date:</w:t>
      </w:r>
      <w:r w:rsidDel="00000000" w:rsidR="00000000" w:rsidRPr="00000000">
        <w:rPr>
          <w:rtl w:val="0"/>
        </w:rPr>
        <w:t xml:space="preserve"> 2026-09-05</w:t>
      </w:r>
    </w:p>
    <w:p w:rsidR="00000000" w:rsidDel="00000000" w:rsidP="00000000" w:rsidRDefault="00000000" w:rsidRPr="00000000" w14:paraId="00000004">
      <w:pPr>
        <w:pStyle w:val="Heading2"/>
        <w:rPr/>
      </w:pPr>
      <w:bookmarkStart w:colFirst="0" w:colLast="0" w:name="_i96ay9otzddh" w:id="2"/>
      <w:bookmarkEnd w:id="2"/>
      <w:r w:rsidDel="00000000" w:rsidR="00000000" w:rsidRPr="00000000">
        <w:rPr>
          <w:b w:val="1"/>
          <w:bCs w:val="1"/>
          <w:rtl w:val="0"/>
        </w:rPr>
        <w:t xml:space="preserve">1. Executive Summary &amp; Statutory Authority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Regional rural economies across New South Wales face an existential crisis driven not by agricultural unproductivity, but by the structural mechanics of orthodox commercial banking and retail duopoly extraction. Compound interest charges ($r_{\text{compound}} &gt; 8.0%$) and retail supermarket tolling ($DQ = 10.66$) siphon agricultural liquidity out of regional shires, forcing family farm foreclosures during climatic droughts.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Under Section 358 of the Local Government Act 1993 (NSW), municipal councils possess explicit legal authority to form and participate in corporations, mutual entities, and public trusts with ministerial approval to secure essential community infrastructure. Coupled with Part 5C of the </w:t>
      </w:r>
      <w:r w:rsidDel="00000000" w:rsidR="00000000" w:rsidRPr="00000000">
        <w:rPr>
          <w:i w:val="1"/>
          <w:iCs w:val="1"/>
          <w:rtl w:val="0"/>
        </w:rPr>
        <w:t xml:space="preserve">Corporations Act 2001</w:t>
      </w:r>
      <w:r w:rsidDel="00000000" w:rsidR="00000000" w:rsidRPr="00000000">
        <w:rPr>
          <w:rtl w:val="0"/>
        </w:rPr>
        <w:t xml:space="preserve"> (Cth) governing member-owned mutual financial institutions and Sections 11–12 of the Regional Investment Corporation Act 2018 (Cth), regional local government areas (LGAs) have the statutory power to establish Sovereign Mutual Credit Unions (SMCUs) and protect local productive assets.</w:t>
      </w:r>
    </w:p>
    <w:p w:rsidR="00000000" w:rsidDel="00000000" w:rsidP="00000000" w:rsidRDefault="00000000" w:rsidRPr="00000000" w14:paraId="00000008">
      <w:pPr>
        <w:pStyle w:val="Heading2"/>
        <w:rPr/>
      </w:pPr>
      <w:bookmarkStart w:colFirst="0" w:colLast="0" w:name="_3osjo1nm0mmp" w:id="3"/>
      <w:bookmarkEnd w:id="3"/>
      <w:r w:rsidDel="00000000" w:rsidR="00000000" w:rsidRPr="00000000">
        <w:rPr>
          <w:b w:val="1"/>
          <w:bCs w:val="1"/>
          <w:rtl w:val="0"/>
        </w:rPr>
        <w:t xml:space="preserve">2. Diagnostic: The Rural Financial Trap</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current agricultural financial model is characterized by three primary failure modes: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Working Capital Inflation:</w:t>
      </w:r>
      <w:r w:rsidDel="00000000" w:rsidR="00000000" w:rsidRPr="00000000">
        <w:rPr>
          <w:rtl w:val="0"/>
        </w:rPr>
        <w:t xml:space="preserve"> Reserve Bank monetary tightening (+425 bps) does not cool agricultural staple demand; instead, via the working capital cost channel, it compounds upfront input borrowing costs (fertilizer, diesel, seed, water), driving cost-push food price inflation.</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Duopoly Toll Extraction:</w:t>
      </w:r>
      <w:r w:rsidDel="00000000" w:rsidR="00000000" w:rsidRPr="00000000">
        <w:rPr>
          <w:rtl w:val="0"/>
        </w:rPr>
        <w:t xml:space="preserve"> On a standard $5.00 loaf of bread, the primary wheat grower receives only $0.55 (11% of retail price) for 41.6% of total physical exertion, while the supermarket duopoly captures $2.50 (50% of retail price) for under 5% of physical effort ($DQ = 10.66$).</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Compound Debt vs. Biological Reality:</w:t>
      </w:r>
      <w:r w:rsidDel="00000000" w:rsidR="00000000" w:rsidRPr="00000000">
        <w:rPr>
          <w:rtl w:val="0"/>
        </w:rPr>
        <w:t xml:space="preserve"> Biological crops grow linearly ($L(t)$), but commercial debt compounds exponentially ($L_0 e^{rt}$). During severe climatic droughts, compounding interest forces generational land transfers to corporate agribusiness.</w:t>
      </w:r>
    </w:p>
    <w:p w:rsidR="00000000" w:rsidDel="00000000" w:rsidP="00000000" w:rsidRDefault="00000000" w:rsidRPr="00000000" w14:paraId="0000000E">
      <w:pPr>
        <w:pStyle w:val="Heading2"/>
        <w:rPr/>
      </w:pPr>
      <w:bookmarkStart w:colFirst="0" w:colLast="0" w:name="_33c2t3bqfaej" w:id="4"/>
      <w:bookmarkEnd w:id="4"/>
      <w:r w:rsidDel="00000000" w:rsidR="00000000" w:rsidRPr="00000000">
        <w:rPr>
          <w:b w:val="1"/>
          <w:bCs w:val="1"/>
          <w:rtl w:val="0"/>
        </w:rPr>
        <w:t xml:space="preserve">3. The Three Pillars of Municipal Implementation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Participating regional councils establish a synchronized three-pillar infrastructure to insulate the local economy: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ced4da" w:space="0" w:sz="8" w:val="single"/>
          <w:left w:color="000000" w:space="0" w:sz="0" w:val="nil"/>
          <w:bottom w:color="ced4da" w:space="0" w:sz="8" w:val="single"/>
          <w:right w:color="000000" w:space="0" w:sz="0" w:val="nil"/>
          <w:insideH w:color="e9ecef" w:space="0" w:sz="8" w:val="single"/>
          <w:insideV w:color="e9ec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Pillar</w:t>
            </w:r>
          </w:p>
        </w:tc>
        <w:tc>
          <w:tcPr/>
          <w:p w:rsidR="00000000" w:rsidDel="00000000" w:rsidP="00000000" w:rsidRDefault="00000000" w:rsidRPr="00000000" w14:paraId="00000012">
            <w:pPr>
              <w:rPr/>
            </w:pPr>
            <w:r w:rsidDel="00000000" w:rsidR="00000000" w:rsidRPr="00000000">
              <w:rPr>
                <w:rtl w:val="0"/>
              </w:rPr>
              <w:t xml:space="preserve">Entity</w:t>
            </w:r>
          </w:p>
        </w:tc>
        <w:tc>
          <w:tcPr/>
          <w:p w:rsidR="00000000" w:rsidDel="00000000" w:rsidP="00000000" w:rsidRDefault="00000000" w:rsidRPr="00000000" w14:paraId="00000013">
            <w:pPr>
              <w:rPr/>
            </w:pPr>
            <w:r w:rsidDel="00000000" w:rsidR="00000000" w:rsidRPr="00000000">
              <w:rPr>
                <w:rtl w:val="0"/>
              </w:rPr>
              <w:t xml:space="preserve">Core Function</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Pillar 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Book 1: Sovereign Mutual Credit Union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Member-owned, non-distributive mutual bank providing $r \equiv 0.00%$ compound interest facilities with deterministic linear principal amortization.</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Pillar 2</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Book 2: Strategic Physical Reserves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Shire-owned physical grain silos (26–52 weeks reserve), municipal solar microgrids, and managed water dams with automated statutory drought pauses.</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Pillar 3</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Book 3: Reality Ledger &amp; Logistics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NMI-certified weighbridge/telemetry coupled with closed-loop vehicle routing to ensure freight fleets eliminate deadheading depletion.</w:t>
            </w:r>
          </w:p>
        </w:tc>
      </w:tr>
    </w:tbl>
    <w:p w:rsidR="00000000" w:rsidDel="00000000" w:rsidP="00000000" w:rsidRDefault="00000000" w:rsidRPr="00000000" w14:paraId="0000001D">
      <w:pPr>
        <w:pStyle w:val="Heading2"/>
        <w:rPr/>
      </w:pPr>
      <w:bookmarkStart w:colFirst="0" w:colLast="0" w:name="_debqwl18nlbq" w:id="5"/>
      <w:bookmarkEnd w:id="5"/>
      <w:r w:rsidDel="00000000" w:rsidR="00000000" w:rsidRPr="00000000">
        <w:rPr>
          <w:b w:val="1"/>
          <w:bCs w:val="1"/>
          <w:rtl w:val="0"/>
        </w:rPr>
        <w:t xml:space="preserve">4. Operational Lending Instrument: Form SCU-A1</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Form SCU-A1 governs the refinancing of commercial agricultural debt into non-usurious municipal facilities. This instrument is designed to align financial obligations with biological production cycles.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Eligible Security:</w:t>
      </w:r>
      <w:r w:rsidDel="00000000" w:rsidR="00000000" w:rsidRPr="00000000">
        <w:rPr>
          <w:rtl w:val="0"/>
        </w:rPr>
        <w:t xml:space="preserve"> Primary agricultural land, tractors, harvesters, on-farm grain silos, and irrigation equipment.</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Facility Interest Rate:</w:t>
      </w:r>
      <w:r w:rsidDel="00000000" w:rsidR="00000000" w:rsidRPr="00000000">
        <w:rPr>
          <w:rtl w:val="0"/>
        </w:rPr>
        <w:t xml:space="preserve"> Strictly $r_{\text{compound}} \equiv 0.00%$ per annum. An annual non-capitalized administrative fee ($\le 0.35%$) covers credit union operational overhead.</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Linear Amortization:</w:t>
      </w:r>
      <w:r w:rsidDel="00000000" w:rsidR="00000000" w:rsidRPr="00000000">
        <w:rPr>
          <w:rtl w:val="0"/>
        </w:rPr>
        <w:t xml:space="preserve"> Principal is repaid in equal annual or monthly installments over a 20-to-25 year term ($\text{Payment} = \frac{C_{\text{principal}}}{T_{\text{term}}}$).</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Statutory Climatic Hazard Pause (Clause 8.2):</w:t>
      </w:r>
      <w:r w:rsidDel="00000000" w:rsidR="00000000" w:rsidRPr="00000000">
        <w:rPr>
          <w:rtl w:val="0"/>
        </w:rPr>
        <w:t xml:space="preserve"> Repayments automatically freeze for 12 months when localized rainfall or crop yields collapse by $\ge 40%$. Unpaid principal is deferred to the end of the term with zero penalty interest or capitalization.</w:t>
      </w:r>
    </w:p>
    <w:p w:rsidR="00000000" w:rsidDel="00000000" w:rsidP="00000000" w:rsidRDefault="00000000" w:rsidRPr="00000000" w14:paraId="00000024">
      <w:pPr>
        <w:pStyle w:val="Heading2"/>
        <w:rPr/>
      </w:pPr>
      <w:bookmarkStart w:colFirst="0" w:colLast="0" w:name="_if4lp5p9oui0" w:id="6"/>
      <w:bookmarkEnd w:id="6"/>
      <w:r w:rsidDel="00000000" w:rsidR="00000000" w:rsidRPr="00000000">
        <w:rPr>
          <w:b w:val="1"/>
          <w:bCs w:val="1"/>
          <w:rtl w:val="0"/>
        </w:rPr>
        <w:t xml:space="preserve">5. Regional Network Clearing &amp; Closed-Loop Vehicle Fleet Logistics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Under the Multi-Shire Joint Powers Alliance across the 10 regional hubs (Coonabarabran, Gilgandra, Gunnedah, Narrabri, Dubbo, Mudgee, Tamworth, Warren, Walgett, Moree):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Bilateral Trade Tensor ($\mathbf{\Xi}_{\text{trade}}$):</w:t>
      </w:r>
      <w:r w:rsidDel="00000000" w:rsidR="00000000" w:rsidRPr="00000000">
        <w:rPr>
          <w:rtl w:val="0"/>
        </w:rPr>
        <w:t xml:space="preserve"> Shires clear grain, water, and power deficits bilaterally at physical base cost ($P_H = $1.15$), saving 35.4% in transport exergy friction.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Closed-Loop Fleet Conservation:</w:t>
      </w:r>
      <w:r w:rsidDel="00000000" w:rsidR="00000000" w:rsidRPr="00000000">
        <w:rPr>
          <w:rtl w:val="0"/>
        </w:rPr>
        <w:t xml:space="preserve"> The logistics engine (</w:t>
      </w:r>
      <w:r w:rsidDel="00000000" w:rsidR="00000000" w:rsidRPr="00000000">
        <w:rPr>
          <w:rFonts w:ascii="Roboto Mono" w:cs="Roboto Mono" w:eastAsia="Roboto Mono" w:hAnsi="Roboto Mono"/>
          <w:color w:val="188038"/>
          <w:rtl w:val="0"/>
        </w:rPr>
        <w:t xml:space="preserve">closed_loop_logistics.py</w:t>
      </w:r>
      <w:r w:rsidDel="00000000" w:rsidR="00000000" w:rsidRPr="00000000">
        <w:rPr>
          <w:rtl w:val="0"/>
        </w:rPr>
        <w:t xml:space="preserve">) enforces depot vehicle balance ($\sum_j v_{ji} = \sum_j v_{ij}$), systematically repositioning empty bulk grain tippers, water tankers, and BESS low-loaders to source depots, eliminating fleet stranding.</w:t>
      </w:r>
    </w:p>
    <w:p w:rsidR="00000000" w:rsidDel="00000000" w:rsidP="00000000" w:rsidRDefault="00000000" w:rsidRPr="00000000" w14:paraId="00000029">
      <w:pPr>
        <w:pStyle w:val="Heading2"/>
        <w:rPr/>
      </w:pPr>
      <w:bookmarkStart w:colFirst="0" w:colLast="0" w:name="_zbx5h14hseiw" w:id="7"/>
      <w:bookmarkEnd w:id="7"/>
      <w:r w:rsidDel="00000000" w:rsidR="00000000" w:rsidRPr="00000000">
        <w:rPr>
          <w:b w:val="1"/>
          <w:bCs w:val="1"/>
          <w:rtl w:val="0"/>
        </w:rPr>
        <w:t xml:space="preserve">6. Turnkey Model Council Resolution &amp; Implementation Roadmap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Councils table a standard resolution at ordinary meetings resolving 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Formally note the cost-push inflationary impact of compounding interest on local agriculture.</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Apply to the Minister under Section 358 of the </w:t>
      </w:r>
      <w:r w:rsidDel="00000000" w:rsidR="00000000" w:rsidRPr="00000000">
        <w:rPr>
          <w:i w:val="1"/>
          <w:iCs w:val="1"/>
          <w:rtl w:val="0"/>
        </w:rPr>
        <w:t xml:space="preserve">Local Government Act 1993</w:t>
      </w:r>
      <w:r w:rsidDel="00000000" w:rsidR="00000000" w:rsidRPr="00000000">
        <w:rPr>
          <w:rtl w:val="0"/>
        </w:rPr>
        <w:t xml:space="preserve"> (NSW) to form the Place Sovereign Mutual Credit Union.</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Adopt Theorem 5 ($r_{\text{compound}} \equiv 0.0%$, linear amortization) as the core lending policy.</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Authorize the General Manager to execute the Multi-Shire Joint Powers Alliance Compact.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Implementation Schedule: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ced4da" w:space="0" w:sz="8" w:val="single"/>
          <w:left w:color="000000" w:space="0" w:sz="0" w:val="nil"/>
          <w:bottom w:color="ced4da" w:space="0" w:sz="8" w:val="single"/>
          <w:right w:color="000000" w:space="0" w:sz="0" w:val="nil"/>
          <w:insideH w:color="e9ecef" w:space="0" w:sz="8" w:val="single"/>
          <w:insideV w:color="e9ec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Timeline</w:t>
            </w:r>
          </w:p>
        </w:tc>
        <w:tc>
          <w:tcPr/>
          <w:p w:rsidR="00000000" w:rsidDel="00000000" w:rsidP="00000000" w:rsidRDefault="00000000" w:rsidRPr="00000000" w14:paraId="00000034">
            <w:pPr>
              <w:rPr/>
            </w:pPr>
            <w:r w:rsidDel="00000000" w:rsidR="00000000" w:rsidRPr="00000000">
              <w:rPr>
                <w:rtl w:val="0"/>
              </w:rPr>
              <w:t xml:space="preserve">Phase</w:t>
            </w:r>
          </w:p>
        </w:tc>
        <w:tc>
          <w:tcPr/>
          <w:p w:rsidR="00000000" w:rsidDel="00000000" w:rsidP="00000000" w:rsidRDefault="00000000" w:rsidRPr="00000000" w14:paraId="00000035">
            <w:pPr>
              <w:rPr/>
            </w:pPr>
            <w:r w:rsidDel="00000000" w:rsidR="00000000" w:rsidRPr="00000000">
              <w:rPr>
                <w:rtl w:val="0"/>
              </w:rPr>
              <w:t xml:space="preserve">Key Deliverables</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Months 1–3</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Governance &amp; Initiation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Council briefing workshops, community farmer roundtables, and s358 ministerial application.</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Months 4–6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Incorporation &amp; Audit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SMCU incorporation, Book 2 physical reserve audit, and initial Form SCU-A1 refinancing pilot.</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Months 7–12</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Full Grid Launch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Joint Powers Alliance compact execution, weighbridge telemetry integration, and full regional clearing grid launch.</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Approved for distribution to Regional Shires.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Director, Societal Economics</w:t>
      </w:r>
      <w:r w:rsidDel="00000000" w:rsidR="00000000" w:rsidRPr="00000000">
        <w:rPr>
          <w:rtl w:val="0"/>
        </w:rPr>
        <w:br w:type="textWrapping"/>
        <w:t xml:space="preserve">Alethekanon Research Institute</w:t>
        <w:br w:type="textWrapping"/>
      </w:r>
      <w:r w:rsidDel="00000000" w:rsidR="00000000" w:rsidRPr="00000000">
        <w:rPr>
          <w:color w:val="000000"/>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4292e"/>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0d47a1"/>
      <w:sz w:val="35.42"/>
      <w:szCs w:val="35.42"/>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1565c0"/>
      <w:sz w:val="33.18"/>
      <w:szCs w:val="33.18"/>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1e88e5"/>
      <w:sz w:val="31.1"/>
      <w:szCs w:val="31.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d47a1"/>
      <w:sz w:val="40.32"/>
      <w:szCs w:val="40.32"/>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455a64"/>
      <w:sz w:val="33.18"/>
      <w:szCs w:val="33.1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0d47a1"/>
        <w:sz w:val="24"/>
        <w:szCs w:val="24"/>
      </w:rPr>
      <w:tcPr>
        <w:shd w:fill="f8f9fa"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0d47a1"/>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