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Session Executive Summary &amp; Research Index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0" w:lineRule="auto"/>
        <w:ind w:left="0" w:right="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495057"/>
          <w:sz w:val="38"/>
          <w:szCs w:val="38"/>
          <w:rtl w:val="0"/>
        </w:rPr>
        <w:t xml:space="preserve">Overview of Core Accomplishments, Mathematical Formalizations, Empirical Case Studies, and Document Architecture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60" w:lineRule="auto"/>
        <w:ind w:left="240" w:right="240" w:firstLine="0"/>
        <w:rPr>
          <w:b w:val="1"/>
          <w:bCs w:val="1"/>
          <w:color w:val="495057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240" w:right="240" w:firstLine="0"/>
        <w:rPr>
          <w:color w:val="1a73e8"/>
          <w:shd w:fill="f8f9fa" w:val="clear"/>
        </w:rPr>
      </w:pPr>
      <w:r w:rsidDel="00000000" w:rsidR="00000000" w:rsidRPr="00000000">
        <w:rPr>
          <w:color w:val="1a73e8"/>
          <w:shd w:fill="f8f9fa" w:val="clear"/>
          <w:rtl w:val="0"/>
        </w:rPr>
        <w:t xml:space="preserve">Key Research Deliverables in Google Drive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Primary Theory Document:</w:t>
      </w:r>
      <w:r w:rsidDel="00000000" w:rsidR="00000000" w:rsidRPr="00000000">
        <w:rPr>
          <w:shd w:fill="f8f9fa" w:val="clear"/>
          <w:rtl w:val="0"/>
        </w:rPr>
        <w:t xml:space="preserve"> </w:t>
      </w:r>
      <w:hyperlink r:id="rId6">
        <w:r w:rsidDel="00000000" w:rsidR="00000000" w:rsidRPr="00000000">
          <w:rPr>
            <w:color w:val="1a73e8"/>
            <w:shd w:fill="f8f9fa" w:val="clear"/>
            <w:rtl w:val="0"/>
          </w:rPr>
          <w:t xml:space="preserve">Research Candidate: Formalization of the Universal Price Equation (UPE) &amp; 7-Plane Price Vector (P^7)</w:t>
        </w:r>
      </w:hyperlink>
      <w:r w:rsidDel="00000000" w:rsidR="00000000" w:rsidRPr="00000000">
        <w:rPr>
          <w:shd w:fill="f8f9fa" w:val="clear"/>
          <w:rtl w:val="0"/>
        </w:rPr>
        <w:t xml:space="preserve"> — The 13-section foundational treatise on econophysics, 6 formal analytical theorems, statistical mechanics simulation blueprint, and econometric estimation pipeline.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540" w:right="240" w:hanging="360"/>
      </w:pPr>
      <w:r w:rsidDel="00000000" w:rsidR="00000000" w:rsidRPr="00000000">
        <w:rPr>
          <w:b w:val="1"/>
          <w:bCs w:val="1"/>
          <w:shd w:fill="f8f9fa" w:val="clear"/>
          <w:rtl w:val="0"/>
        </w:rPr>
        <w:t xml:space="preserve">Empirical &amp; Macroeconomic Document:</w:t>
      </w:r>
      <w:r w:rsidDel="00000000" w:rsidR="00000000" w:rsidRPr="00000000">
        <w:rPr>
          <w:shd w:fill="f8f9fa" w:val="clear"/>
          <w:rtl w:val="0"/>
        </w:rPr>
        <w:t xml:space="preserve"> </w:t>
      </w:r>
      <w:hyperlink r:id="rId7">
        <w:r w:rsidDel="00000000" w:rsidR="00000000" w:rsidRPr="00000000">
          <w:rPr>
            <w:color w:val="1a73e8"/>
            <w:shd w:fill="f8f9fa" w:val="clear"/>
            <w:rtl w:val="0"/>
          </w:rPr>
          <w:t xml:space="preserve">The Economics and Value Physics of Bread: Multi-Tier Price Architecture, the WEST Standard, and Interest Rate Transmission Dynamics</w:t>
        </w:r>
      </w:hyperlink>
      <w:r w:rsidDel="00000000" w:rsidR="00000000" w:rsidRPr="00000000">
        <w:rPr>
          <w:shd w:fill="f8f9fa" w:val="clear"/>
          <w:rtl w:val="0"/>
        </w:rPr>
        <w:t xml:space="preserve"> — Comprehensive multi-tier price audit across Australian retail bread and econometric modeling of monetary policy cost-push transmission.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1. Mathematical Foundations &amp; The WEST Token Architecture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During this session, Value Physics was expanded from theoretical field definitions into an operational, quantifiable price judgement engine anchored in physical difficulty: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Instantaneous Difficulty Function D(t)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Formalized human labor exertion as a multi-variable vector: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D(t) = s(t) · e(t) · [1 + d(t)] · [1 + c(t)]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where s(t) is training density, e(t) is physical exertion in Metabolic Equivalent of Task (METs, 1.0 MET ≈ 4.184 kJ/(kg·hr)), d(t) is danger/entropy risk exposure, and c(t) is cognitive attention density.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1 WEST Token Quantum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Defined as one standard hour of socially necessary labor (s=1.0, e=1.0 MET, d=0.0, c=0.0):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WEST Tokens = ∫_0^T s(t) · e(t) · [1 + d(t)] · [1 + c(t)] 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Directly quantifying the physical transactional mass in Einsteinian value space (E_v = m(tv)^2).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Distortion Quotient (DQ)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DQ = (% Share of Nominal Market Price P_m) / (% Share of WEST Difficulty Tokens)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Enables objective mathematical detection of labor exploitation (DQ ≪ 1.0), true difficulty parity (DQ ≈ 1.0), and rentier toll capture (DQ ≫ 1.0).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2. The 56-Cell Empirical Bread Matrix (TS_0)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calibrated the canonical 8-stage physical standard (TS_0: Plant → Grain → Harvest → Mill → Leaven → Oven → Breaking → Distribution) across all 7 Interrogative Planes of Reality for a standard 700g loaf retailing at $4.00 AUD:</w:t>
      </w:r>
    </w:p>
    <w:tbl>
      <w:tblPr>
        <w:tblStyle w:val="Table1"/>
        <w:tblW w:w="9360.000000000002" w:type="dxa"/>
        <w:jc w:val="left"/>
        <w:tblBorders>
          <w:top w:color="dee2e6" w:space="0" w:sz="6" w:val="single"/>
          <w:left w:color="dee2e6" w:space="0" w:sz="6" w:val="single"/>
          <w:bottom w:color="dee2e6" w:space="0" w:sz="6" w:val="single"/>
          <w:right w:color="dee2e6" w:space="0" w:sz="6" w:val="single"/>
          <w:insideH w:color="dee2e6" w:space="0" w:sz="6" w:val="single"/>
          <w:insideV w:color="dee2e6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Supply Chain Segment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Direct Labor Time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Difficulty (WEST Tokens)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Primary Exergy (P_e)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Nominal Revenue (P_m)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Distortion (DQ)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f1f3f5" w:val="clear"/>
            <w:tcMar>
              <w:top w:w="270.0" w:type="dxa"/>
              <w:left w:w="270.0" w:type="dxa"/>
              <w:bottom w:w="27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 Physics Diagnosis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Stages 1–3: Farmgate Grain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34.7 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0.2608 (47.6%)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5.10 MJ (47.1%)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$0.255 AUD (6.38%)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0.134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Substrate Cannibalization:</w:t>
            </w:r>
            <w:r w:rsidDel="00000000" w:rsidR="00000000" w:rsidRPr="00000000">
              <w:rPr>
                <w:rtl w:val="0"/>
              </w:rPr>
              <w:t xml:space="preserve"> Sunk biological &amp; mechanical effort severely undercompensated.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4: Flour Milling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6.5 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0.0346 (6.3%)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0.48 MJ (4.4%)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$0.120 AUD (3.00%)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0.476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High-Capital Compression:</w:t>
            </w:r>
            <w:r w:rsidDel="00000000" w:rsidR="00000000" w:rsidRPr="00000000">
              <w:rPr>
                <w:rtl w:val="0"/>
              </w:rPr>
              <w:t xml:space="preserve"> Automated throughput operating on narrow margin buffers.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Stages 5–7: Industrial Baking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43.5 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0.1733 (31.7%)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2.85 MJ (26.3%)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$0.900 AUD (22.50%)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0.710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Intermediate Transformation:</w:t>
            </w:r>
            <w:r w:rsidDel="00000000" w:rsidR="00000000" w:rsidRPr="00000000">
              <w:rPr>
                <w:rtl w:val="0"/>
              </w:rPr>
              <w:t xml:space="preserve"> Continuous tunnel baking and packaging overhead.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 8: Retail Distribution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45.0 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0.0788 (14.4%)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2.40 MJ (22.2%)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$2.725 AUD (68.13%)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4.736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Rentier Enclosure (R_a ≈ 0.40):</w:t>
            </w:r>
            <w:r w:rsidDel="00000000" w:rsidR="00000000" w:rsidRPr="00000000">
              <w:rPr>
                <w:rtl w:val="0"/>
              </w:rPr>
              <w:t xml:space="preserve"> Supermarket duopoly listing tolls capturing ~68% of price.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System (1 Loaf)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129.7 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0.5474 Tokens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10.83 MJ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$4.000 AUD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1.000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shd w:fill="auto" w:val="clear"/>
            <w:tcMar>
              <w:top w:w="240.0" w:type="dxa"/>
              <w:left w:w="270.0" w:type="dxa"/>
              <w:bottom w:w="240.0" w:type="dxa"/>
              <w:right w:w="2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Canonical Physical Reference Invariant Floor (TS_0).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3. Multi-Tier Retail Bread Price Comparison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Audited current Australian real-world bread prices across all 4 operational tiers against the WEST baseline: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Tier 1 (Private Label, $2.40–$2.80 AUD, DQ=0.796):</w:t>
      </w:r>
      <w:r w:rsidDel="00000000" w:rsidR="00000000" w:rsidRPr="00000000">
        <w:rPr>
          <w:rtl w:val="0"/>
        </w:rPr>
        <w:t xml:space="preserve"> Operates under </w:t>
      </w:r>
      <w:hyperlink r:id="rId8">
        <w:r w:rsidDel="00000000" w:rsidR="00000000" w:rsidRPr="00000000">
          <w:rPr>
            <w:color w:val="1a73e8"/>
            <w:rtl w:val="0"/>
          </w:rPr>
          <w:t xml:space="preserve">The Cover</w:t>
        </w:r>
      </w:hyperlink>
      <w:r w:rsidDel="00000000" w:rsidR="00000000" w:rsidRPr="00000000">
        <w:rPr>
          <w:rtl w:val="0"/>
        </w:rPr>
        <w:t xml:space="preserve"> as a loss leader, suppressing retail shelf prices by externalizing debt onto farmgate wheat suppliers (DQ_farm=0.134).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Tier 2 (National Commercial Brands, $4.60–$5.20 AUD, DQ=1.228):</w:t>
      </w:r>
      <w:r w:rsidDel="00000000" w:rsidR="00000000" w:rsidRPr="00000000">
        <w:rPr>
          <w:rtl w:val="0"/>
        </w:rPr>
        <w:t xml:space="preserve"> Uses the same industrial lines as private label (+0.08 WEST tokens delta), with the $1.90–$2.50 price jump representing P_4 brand narrative and P_1 supermarket shelf slotting fees.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Tier 3 (Franchise Scratch Bakeries, $5.00–$8.00 AUD, DQ=0.985):</w:t>
      </w:r>
      <w:r w:rsidDel="00000000" w:rsidR="00000000" w:rsidRPr="00000000">
        <w:rPr>
          <w:rtl w:val="0"/>
        </w:rPr>
        <w:t xml:space="preserve"> Demonstrates high operational parity reflecting on-site trade baker labor (P_b), deck ovens, and local commercial shopfront leaseholds (P_6).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Tier 4 (Artisan Sourdough, $8.50–$12.00 AUD, DQ=0.965):</w:t>
      </w:r>
      <w:r w:rsidDel="00000000" w:rsidR="00000000" w:rsidRPr="00000000">
        <w:rPr>
          <w:rtl w:val="0"/>
        </w:rPr>
        <w:t xml:space="preserve"> While perceived as expensive, it is the </w:t>
      </w:r>
      <w:r w:rsidDel="00000000" w:rsidR="00000000" w:rsidRPr="00000000">
        <w:rPr>
          <w:b w:val="1"/>
          <w:bCs w:val="1"/>
          <w:rtl w:val="0"/>
        </w:rPr>
        <w:t xml:space="preserve">most accurately priced bread relative to difficulty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requiring ≈ 8x more human skill and metabolic difficulty (3.650 WEST tokens) for only 3x the nominal price.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4. Interest Rate Transmission &amp; Cost-Push Mechanics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Modeled the transmission of RBA monetary tightening into subsistence food pricing, proving that interest rate hikes act as a </w:t>
      </w:r>
      <w:r w:rsidDel="00000000" w:rsidR="00000000" w:rsidRPr="00000000">
        <w:rPr>
          <w:b w:val="1"/>
          <w:bCs w:val="1"/>
          <w:rtl w:val="0"/>
        </w:rPr>
        <w:t xml:space="preserve">cost-push inflationary accelerator</w:t>
      </w:r>
      <w:r w:rsidDel="00000000" w:rsidR="00000000" w:rsidRPr="00000000">
        <w:rPr>
          <w:rtl w:val="0"/>
        </w:rPr>
        <w:t xml:space="preserve"> on inelastic goods: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Agricultural Farm Debt Compounding (P_6):</w:t>
      </w:r>
      <w:r w:rsidDel="00000000" w:rsidR="00000000" w:rsidRPr="00000000">
        <w:rPr>
          <w:rtl w:val="0"/>
        </w:rPr>
        <w:t xml:space="preserve"> Total Australian farm debt (&gt;$110B AUD) saw debt servicing jump from 8% to 12%–22% of gross income following rate hikes, raising farmgate breakeven costs.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Supply Chain WACC Compounding:</w:t>
      </w:r>
      <w:r w:rsidDel="00000000" w:rsidR="00000000" w:rsidRPr="00000000">
        <w:rPr>
          <w:rtl w:val="0"/>
        </w:rPr>
        <w:t xml:space="preserve"> Working capital overdrafts, flour milling CapEx loans, and truck fleet lease finance compound across all intermediate stages.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The Lorentz Coercion Channel (γ(v_rel)):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Mortgage/rent stress crushes discretionary budgets, locking consumers into captive staple purchases (N_x &gt;&gt; W_x, ε → 0, γ → ∞). Supermarket duopolies exploit this inelastic demand to defend and expand gross profit margins (R_a ≈ 0.40).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Mathematical Proof: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Formalized the Interest Rate Elasticity Derivative: ∂P^7 / ∂r &gt; 0 proving that central bank rate hikes drive food price inflation on essential staples.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b w:val="1"/>
          <w:bCs w:val="1"/>
          <w:rtl w:val="0"/>
        </w:rPr>
        <w:t xml:space="preserve">Simulation Run:</w:t>
      </w:r>
      <w:r w:rsidDel="00000000" w:rsidR="00000000" w:rsidRPr="00000000">
        <w:rPr>
          <w:rtl w:val="0"/>
        </w:rPr>
        <w:t xml:space="preserve"> A 300 bps RBA rate hike drives a </w:t>
      </w:r>
      <w:r w:rsidDel="00000000" w:rsidR="00000000" w:rsidRPr="00000000">
        <w:rPr>
          <w:b w:val="1"/>
          <w:bCs w:val="1"/>
          <w:rtl w:val="0"/>
        </w:rPr>
        <w:t xml:space="preserve">+$0.78 AUD (+19.4%) loaf price surge</w:t>
      </w:r>
      <w:r w:rsidDel="00000000" w:rsidR="00000000" w:rsidRPr="00000000">
        <w:rPr>
          <w:rtl w:val="0"/>
        </w:rPr>
        <w:t xml:space="preserve"> (55.4% direct interest costs, 44.6% duopoly margin defense).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43a40"/>
        </w:rPr>
      </w:pPr>
      <w:r w:rsidDel="00000000" w:rsidR="00000000" w:rsidRPr="00000000">
        <w:rPr>
          <w:color w:val="343a40"/>
          <w:rtl w:val="0"/>
        </w:rPr>
        <w:t xml:space="preserve">5. Contextual &amp; Physiological Integration (METs)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Clarified the origin and integration of </w:t>
      </w:r>
      <w:r w:rsidDel="00000000" w:rsidR="00000000" w:rsidRPr="00000000">
        <w:rPr>
          <w:b w:val="1"/>
          <w:bCs w:val="1"/>
          <w:rtl w:val="0"/>
        </w:rPr>
        <w:t xml:space="preserve">MET (Metabolic Equivalent of Task)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Established in clinical exercise physiology (</w:t>
      </w:r>
      <w:hyperlink r:id="rId9">
        <w:r w:rsidDel="00000000" w:rsidR="00000000" w:rsidRPr="00000000">
          <w:rPr>
            <w:color w:val="1a73e8"/>
            <w:rtl w:val="0"/>
          </w:rPr>
          <w:t xml:space="preserve">Ainsworth et al., Compendium of Physical Activities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defined as 1.0 MET ≡ 1.0 kcal/(kg·hr) ≈ 4.184 kJ/(kg·hr).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300" w:right="0" w:hanging="360"/>
      </w:pPr>
      <w:r w:rsidDel="00000000" w:rsidR="00000000" w:rsidRPr="00000000">
        <w:rPr>
          <w:rtl w:val="0"/>
        </w:rPr>
        <w:t xml:space="preserve">Imported into Value Physics as the metabolic exertion scalar e(t) to anchor the biological cost layer (P_b), ensuring that physical caloric wear on the human body is preserved in economic difficulty accounting.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" w:lineRule="auto"/>
        <w:ind w:left="0" w:right="0" w:firstLine="0"/>
        <w:jc w:val="center"/>
        <w:rPr>
          <w:color w:val="6c757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c757d"/>
          <w:sz w:val="28"/>
          <w:szCs w:val="28"/>
          <w:rtl w:val="0"/>
        </w:rPr>
        <w:t xml:space="preserve">Compiled from active research sessions in Value Physics, Econophysics, and Macroeconomic Structural Modeling.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acompendium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WCe0l00s_4MRwd4VK38oDERYjoJrCdcL2Dq3CJ6_rlM/edit" TargetMode="External"/><Relationship Id="rId7" Type="http://schemas.openxmlformats.org/officeDocument/2006/relationships/hyperlink" Target="https://docs.google.com/document/d/1f4cQwN2Rba5cteU-iWsFCA8MMcOSWRa0IxDDk3x5kM4/edit" TargetMode="External"/><Relationship Id="rId8" Type="http://schemas.openxmlformats.org/officeDocument/2006/relationships/hyperlink" Target="https://docs.google.com/document/d/1BSpi1mhfKVt4fFt4W0unwVWUEj2QSeUIPrwTwwi2qE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