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4mh5mhl39dj" w:id="0"/>
      <w:bookmarkEnd w:id="0"/>
      <w:r w:rsidDel="00000000" w:rsidR="00000000" w:rsidRPr="00000000">
        <w:rPr>
          <w:rtl w:val="0"/>
        </w:rPr>
        <w:t xml:space="preserve">Executive Policy Brief: Non-Usurious Agricultural Capital Stabilization, Supermarket Duopoly Margins, and Regional Mutual Banking Reform</w:t>
      </w:r>
    </w:p>
    <w:p w:rsidR="00000000" w:rsidDel="00000000" w:rsidP="00000000" w:rsidRDefault="00000000" w:rsidRPr="00000000" w14:paraId="00000002">
      <w:pPr>
        <w:rPr/>
      </w:pPr>
      <w:r w:rsidDel="00000000" w:rsidR="00000000" w:rsidRPr="00000000">
        <w:rPr>
          <w:b w:val="1"/>
          <w:bCs w:val="1"/>
          <w:rtl w:val="0"/>
        </w:rPr>
        <w:t xml:space="preserve">Formal Submission for Parliamentary Inquiries on the Cost of Living, Agricultural Financial Resilience, and Supermarket Pricing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by the Alethekanon Research Institute — Division 2: Societal Economics &amp; Value Physics</w:t>
      </w:r>
      <w:r w:rsidDel="00000000" w:rsidR="00000000" w:rsidRPr="00000000">
        <w:rPr>
          <w:rtl w:val="0"/>
        </w:rPr>
        <w:br w:type="textWrapping"/>
      </w:r>
      <w:r w:rsidDel="00000000" w:rsidR="00000000" w:rsidRPr="00000000">
        <w:rPr>
          <w:b w:val="1"/>
          <w:bCs w:val="1"/>
          <w:rtl w:val="0"/>
        </w:rPr>
        <w:t xml:space="preserve">Policy Document Reference: ARI-VPE-POL-2026-01</w:t>
      </w:r>
      <w:r w:rsidDel="00000000" w:rsidR="00000000" w:rsidRPr="00000000">
        <w:rPr>
          <w:rtl w:val="0"/>
        </w:rPr>
        <w:br w:type="textWrapping"/>
      </w:r>
      <w:r w:rsidDel="00000000" w:rsidR="00000000" w:rsidRPr="00000000">
        <w:rPr>
          <w:b w:val="1"/>
          <w:bCs w:val="1"/>
          <w:rtl w:val="0"/>
        </w:rPr>
        <w:t xml:space="preserve">Lead Researcher:</w:t>
      </w:r>
      <w:r w:rsidDel="00000000" w:rsidR="00000000" w:rsidRPr="00000000">
        <w:rPr>
          <w:rtl w:val="0"/>
        </w:rPr>
        <w:t xml:space="preserve"> The Researcher</w:t>
        <w:br w:type="textWrapping"/>
      </w:r>
      <w:r w:rsidDel="00000000" w:rsidR="00000000" w:rsidRPr="00000000">
        <w:rPr>
          <w:b w:val="1"/>
          <w:bCs w:val="1"/>
          <w:rtl w:val="0"/>
        </w:rPr>
        <w:t xml:space="preserve">Audited &amp; Endorsed by:</w:t>
      </w:r>
      <w:r w:rsidDel="00000000" w:rsidR="00000000" w:rsidRPr="00000000">
        <w:rPr>
          <w:rtl w:val="0"/>
        </w:rPr>
        <w:t xml:space="preserve"> Epistemic Auditor / Project Manager</w:t>
        <w:br w:type="textWrapping"/>
      </w:r>
      <w:r w:rsidDel="00000000" w:rsidR="00000000" w:rsidRPr="00000000">
        <w:rPr>
          <w:b w:val="1"/>
          <w:bCs w:val="1"/>
          <w:rtl w:val="0"/>
        </w:rPr>
        <w:t xml:space="preserve">Date:</w:t>
      </w:r>
      <w:r w:rsidDel="00000000" w:rsidR="00000000" w:rsidRPr="00000000">
        <w:rPr>
          <w:rtl w:val="0"/>
        </w:rPr>
        <w:t xml:space="preserve"> 2026-08-25 | </w:t>
      </w:r>
      <w:r w:rsidDel="00000000" w:rsidR="00000000" w:rsidRPr="00000000">
        <w:rPr>
          <w:b w:val="1"/>
          <w:bCs w:val="1"/>
          <w:rtl w:val="0"/>
        </w:rPr>
        <w:t xml:space="preserve">Location:</w:t>
      </w:r>
      <w:r w:rsidDel="00000000" w:rsidR="00000000" w:rsidRPr="00000000">
        <w:rPr>
          <w:rtl w:val="0"/>
        </w:rPr>
        <w:t xml:space="preserve"> NSW, Australia</w:t>
      </w:r>
    </w:p>
    <w:p w:rsidR="00000000" w:rsidDel="00000000" w:rsidP="00000000" w:rsidRDefault="00000000" w:rsidRPr="00000000" w14:paraId="00000005">
      <w:pPr>
        <w:pStyle w:val="Heading1"/>
        <w:rPr/>
      </w:pPr>
      <w:bookmarkStart w:colFirst="0" w:colLast="0" w:name="_kxgz4fysm86p" w:id="1"/>
      <w:bookmarkEnd w:id="1"/>
      <w:r w:rsidDel="00000000" w:rsidR="00000000" w:rsidRPr="00000000">
        <w:rPr>
          <w:rtl w:val="0"/>
        </w:rPr>
        <w:t xml:space="preserve">Executive Summary &amp; Core Recommendations</w:t>
      </w:r>
    </w:p>
    <w:p w:rsidR="00000000" w:rsidDel="00000000" w:rsidP="00000000" w:rsidRDefault="00000000" w:rsidRPr="00000000" w14:paraId="00000006">
      <w:pPr>
        <w:rPr/>
      </w:pPr>
      <w:r w:rsidDel="00000000" w:rsidR="00000000" w:rsidRPr="00000000">
        <w:rPr>
          <w:rtl w:val="0"/>
        </w:rPr>
        <w:t xml:space="preserve">Australia faces compounding crises in regional food security, escalating household grocery costs, and severe farm enterprise debt stress. Orthodox macroeconomic policy assumes that inflation is universally caused by excess consumer demand and can be cooled by Reserve Bank of Australia (RBA) cash rate increases.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Policy Brief presents empirical econometric and econophysics evidence proving that central bank interest rate hikes operate as a powerful cost-push inflationary driver on non-discretionary subsistence goods (food, energy, water, shelter). By compounding agricultural working capital debt ($P_{Q6}$) while supermarket duopolies defend their ~28% gross margins against captive consumers, monetary tightening crushes regional primary producers while inflating retail shelf prices.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propose three actionable legislative and structural reforms grounded in the Universal Price Equation (UPE) and </w:t>
      </w:r>
      <w:r w:rsidDel="00000000" w:rsidR="00000000" w:rsidRPr="00000000">
        <w:rPr>
          <w:b w:val="1"/>
          <w:bCs w:val="1"/>
          <w:rtl w:val="0"/>
        </w:rPr>
        <w:t xml:space="preserve">Theorem 5 (Statutory Debt Bifurcation)</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Statutory Debt Bifurcation for Essential Productive Capital:</w:t>
      </w:r>
      <w:r w:rsidDel="00000000" w:rsidR="00000000" w:rsidRPr="00000000">
        <w:rPr>
          <w:rtl w:val="0"/>
        </w:rPr>
        <w:t xml:space="preserve"> Legislate a distinct asset tier separating tangible agricultural and productive infrastructure debt from speculative credit, capping interest on productive capital at $r_{\text{compound}} \equiv 0.0%$ with deterministic linear principal amortization.</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Chartering Regional Sovereign Mutual Credit Unions:</w:t>
      </w:r>
      <w:r w:rsidDel="00000000" w:rsidR="00000000" w:rsidRPr="00000000">
        <w:rPr>
          <w:rtl w:val="0"/>
        </w:rPr>
        <w:t xml:space="preserve"> Empower local government shires and regional credit unions under the </w:t>
      </w:r>
      <w:r w:rsidDel="00000000" w:rsidR="00000000" w:rsidRPr="00000000">
        <w:rPr>
          <w:i w:val="1"/>
          <w:iCs w:val="1"/>
          <w:rtl w:val="0"/>
        </w:rPr>
        <w:t xml:space="preserve">Corporations Act 2001</w:t>
      </w:r>
      <w:r w:rsidDel="00000000" w:rsidR="00000000" w:rsidRPr="00000000">
        <w:rPr>
          <w:rtl w:val="0"/>
        </w:rPr>
        <w:t xml:space="preserve"> (Mutual Societies provisions) to issue non-usurious liquidity pegged to verified physical difficulty ($WEST$ Tokens) and local commodity buffers ($TS_0$).</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Duopoly Toll Extraction Caps on Subsistence Staples:</w:t>
      </w:r>
      <w:r w:rsidDel="00000000" w:rsidR="00000000" w:rsidRPr="00000000">
        <w:rPr>
          <w:rtl w:val="0"/>
        </w:rPr>
        <w:t xml:space="preserve"> Impose a statutory gross margin cap ($R_a \le 12%$) on essential caloric and hydration items, eliminating artificial retail shelf-slotting fees and establishing true difficulty parity ($DQ \approx 1.00$).</w:t>
      </w:r>
    </w:p>
    <w:p w:rsidR="00000000" w:rsidDel="00000000" w:rsidP="00000000" w:rsidRDefault="00000000" w:rsidRPr="00000000" w14:paraId="0000000F">
      <w:pPr>
        <w:pStyle w:val="Heading1"/>
        <w:rPr/>
      </w:pPr>
      <w:bookmarkStart w:colFirst="0" w:colLast="0" w:name="_rucvnutv1kmj" w:id="2"/>
      <w:bookmarkEnd w:id="2"/>
      <w:r w:rsidDel="00000000" w:rsidR="00000000" w:rsidRPr="00000000">
        <w:rPr>
          <w:rtl w:val="0"/>
        </w:rPr>
        <w:t xml:space="preserve">1. The Macroeconomic Paradox: Interest Rate Cost-Push Inflation</w:t>
      </w:r>
    </w:p>
    <w:p w:rsidR="00000000" w:rsidDel="00000000" w:rsidP="00000000" w:rsidRDefault="00000000" w:rsidRPr="00000000" w14:paraId="00000010">
      <w:pPr>
        <w:rPr/>
      </w:pPr>
      <w:r w:rsidDel="00000000" w:rsidR="00000000" w:rsidRPr="00000000">
        <w:rPr>
          <w:rtl w:val="0"/>
        </w:rPr>
        <w:t xml:space="preserve">Orthodox monetary theory models price as a single-scalar equilibrium variable ($P = f(S, D)$), assuming that rate hikes suppress aggregate demand. In primary agriculture and food processing, however, production requires substantial </w:t>
      </w:r>
      <w:r w:rsidDel="00000000" w:rsidR="00000000" w:rsidRPr="00000000">
        <w:rPr>
          <w:b w:val="1"/>
          <w:bCs w:val="1"/>
          <w:rtl w:val="0"/>
        </w:rPr>
        <w:t xml:space="preserve">working capital in advance</w:t>
      </w:r>
      <w:r w:rsidDel="00000000" w:rsidR="00000000" w:rsidRPr="00000000">
        <w:rPr>
          <w:rtl w:val="0"/>
        </w:rPr>
        <w:t xml:space="preserve"> (seed, diesel, fertilizer, electricity, machinery leases).</w:t>
      </w:r>
    </w:p>
    <w:p w:rsidR="00000000" w:rsidDel="00000000" w:rsidP="00000000" w:rsidRDefault="00000000" w:rsidRPr="00000000" w14:paraId="00000011">
      <w:pPr>
        <w:pStyle w:val="Heading2"/>
        <w:rPr/>
      </w:pPr>
      <w:bookmarkStart w:colFirst="0" w:colLast="0" w:name="_t2tmnpqxg1e6" w:id="3"/>
      <w:bookmarkEnd w:id="3"/>
      <w:r w:rsidDel="00000000" w:rsidR="00000000" w:rsidRPr="00000000">
        <w:rPr>
          <w:rtl w:val="0"/>
        </w:rPr>
        <w:t xml:space="preserve">The Working Capital Cost Channel</w:t>
      </w:r>
    </w:p>
    <w:p w:rsidR="00000000" w:rsidDel="00000000" w:rsidP="00000000" w:rsidRDefault="00000000" w:rsidRPr="00000000" w14:paraId="00000012">
      <w:pPr>
        <w:rPr/>
      </w:pPr>
      <w:r w:rsidDel="00000000" w:rsidR="00000000" w:rsidRPr="00000000">
        <w:rPr>
          <w:rtl w:val="0"/>
        </w:rPr>
        <w:t xml:space="preserve">Grounded in empirical macroeconomic literature (Barth &amp; Ramey 2001; Ravenna &amp; Walsh 2006; Tillmann 2008), higher borrowing costs directly increase upstream unit production costs:</w:t>
        <w:br w:type="textWrapping"/>
        <w:t xml:space="preserve">$$P_t = P_e + P_b + P_m(i \cdot 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An RBA cash rate hike of +425 bps increased weekly interest expenses for a representative 10-farm broadacre cluster in NSW from </w:t>
      </w:r>
      <w:r w:rsidDel="00000000" w:rsidR="00000000" w:rsidRPr="00000000">
        <w:rPr>
          <w:b w:val="1"/>
          <w:bCs w:val="1"/>
          <w:rtl w:val="0"/>
        </w:rPr>
        <w:t xml:space="preserve">$10,211/week to $24,923/week</w:t>
      </w:r>
      <w:r w:rsidDel="00000000" w:rsidR="00000000" w:rsidRPr="00000000">
        <w:rPr>
          <w:rtl w:val="0"/>
        </w:rPr>
        <w:t xml:space="preserve">, rapidly draining $1.50M in Farm Management Deposits (FMDs) within 18 months.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Farmers cannot pass these interest hikes downstream due to monopsonistic duopoly wholesale gatekeeping ($DQ_{\text{farmgate}} \approx 0.13$).</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Conversely, supermarket duopolies pass wholesale costs plus capital return hurdles directly to consumers, exploiting the collapse of consumer price elasticity on essential food ($\epsilon \to 0$ under Stone-Geary subsistence thresholds).</w:t>
      </w:r>
    </w:p>
    <w:p w:rsidR="00000000" w:rsidDel="00000000" w:rsidP="00000000" w:rsidRDefault="00000000" w:rsidRPr="00000000" w14:paraId="00000017">
      <w:pPr>
        <w:pStyle w:val="Heading1"/>
        <w:rPr/>
      </w:pPr>
      <w:bookmarkStart w:colFirst="0" w:colLast="0" w:name="_n00bs5p90x9p" w:id="4"/>
      <w:bookmarkEnd w:id="4"/>
      <w:r w:rsidDel="00000000" w:rsidR="00000000" w:rsidRPr="00000000">
        <w:rPr>
          <w:rtl w:val="0"/>
        </w:rPr>
        <w:t xml:space="preserve">2. Empirical Supply Chain Audit: The 56-Cell Bread Calibration</w:t>
      </w:r>
    </w:p>
    <w:p w:rsidR="00000000" w:rsidDel="00000000" w:rsidP="00000000" w:rsidRDefault="00000000" w:rsidRPr="00000000" w14:paraId="00000018">
      <w:pPr>
        <w:rPr/>
      </w:pPr>
      <w:r w:rsidDel="00000000" w:rsidR="00000000" w:rsidRPr="00000000">
        <w:rPr>
          <w:rtl w:val="0"/>
        </w:rPr>
        <w:t xml:space="preserve">Auditing the canonical Australian grain-to-retail supply chain for a standard 700g loaf retailing at $5.00 AUD unconceals extreme structural distortion across the 7 Interrogative Planes of Reality: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Supply Chain Stage</w:t>
            </w:r>
          </w:p>
        </w:tc>
        <w:tc>
          <w:tcPr/>
          <w:p w:rsidR="00000000" w:rsidDel="00000000" w:rsidP="00000000" w:rsidRDefault="00000000" w:rsidRPr="00000000" w14:paraId="0000001B">
            <w:pPr>
              <w:rPr/>
            </w:pPr>
            <w:r w:rsidDel="00000000" w:rsidR="00000000" w:rsidRPr="00000000">
              <w:rPr>
                <w:rtl w:val="0"/>
              </w:rPr>
              <w:t xml:space="preserve">Physical Difficulty (WEST Tokens)</w:t>
            </w:r>
          </w:p>
        </w:tc>
        <w:tc>
          <w:tcPr/>
          <w:p w:rsidR="00000000" w:rsidDel="00000000" w:rsidP="00000000" w:rsidRDefault="00000000" w:rsidRPr="00000000" w14:paraId="0000001C">
            <w:pPr>
              <w:rPr/>
            </w:pPr>
            <w:r w:rsidDel="00000000" w:rsidR="00000000" w:rsidRPr="00000000">
              <w:rPr>
                <w:rtl w:val="0"/>
              </w:rPr>
              <w:t xml:space="preserve">Nominal Revenue Share (AUD)</w:t>
            </w:r>
          </w:p>
        </w:tc>
        <w:tc>
          <w:tcPr/>
          <w:p w:rsidR="00000000" w:rsidDel="00000000" w:rsidP="00000000" w:rsidRDefault="00000000" w:rsidRPr="00000000" w14:paraId="0000001D">
            <w:pPr>
              <w:rPr/>
            </w:pPr>
            <w:r w:rsidDel="00000000" w:rsidR="00000000" w:rsidRPr="00000000">
              <w:rPr>
                <w:rtl w:val="0"/>
              </w:rPr>
              <w:t xml:space="preserve">Distortion Quotient ($DQ$)</w:t>
            </w:r>
          </w:p>
        </w:tc>
        <w:tc>
          <w:tcPr/>
          <w:p w:rsidR="00000000" w:rsidDel="00000000" w:rsidP="00000000" w:rsidRDefault="00000000" w:rsidRPr="00000000" w14:paraId="0000001E">
            <w:pPr>
              <w:rPr/>
            </w:pPr>
            <w:r w:rsidDel="00000000" w:rsidR="00000000" w:rsidRPr="00000000">
              <w:rPr>
                <w:rtl w:val="0"/>
              </w:rPr>
              <w:t xml:space="preserve">Economic Diagnosis</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Stages 1–3: Farmgate Grain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1.95 W (41.6%)</w:t>
            </w:r>
          </w:p>
        </w:tc>
        <w:tc>
          <w:tcPr/>
          <w:p w:rsidR="00000000" w:rsidDel="00000000" w:rsidP="00000000" w:rsidRDefault="00000000" w:rsidRPr="00000000" w14:paraId="00000021">
            <w:pPr>
              <w:rPr/>
            </w:pPr>
            <w:r w:rsidDel="00000000" w:rsidR="00000000" w:rsidRPr="00000000">
              <w:rPr>
                <w:rtl w:val="0"/>
              </w:rPr>
              <w:t xml:space="preserve">$0.55 AUD (11.0%)</w:t>
            </w:r>
          </w:p>
        </w:tc>
        <w:tc>
          <w:tcPr/>
          <w:p w:rsidR="00000000" w:rsidDel="00000000" w:rsidP="00000000" w:rsidRDefault="00000000" w:rsidRPr="00000000" w14:paraId="00000022">
            <w:pPr>
              <w:rPr/>
            </w:pPr>
            <w:r w:rsidDel="00000000" w:rsidR="00000000" w:rsidRPr="00000000">
              <w:rPr>
                <w:b w:val="1"/>
                <w:bCs w:val="1"/>
                <w:rtl w:val="0"/>
              </w:rPr>
              <w:t xml:space="preserve">0.26</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Severe Substrate Extraction:</w:t>
            </w:r>
            <w:r w:rsidDel="00000000" w:rsidR="00000000" w:rsidRPr="00000000">
              <w:rPr>
                <w:rtl w:val="0"/>
              </w:rPr>
              <w:t xml:space="preserve"> Farmers absorb diesel, physical labor, and drought risks with negligible financial return.</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Stage 4: Flour Milling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0.54 W (11.5%)</w:t>
            </w:r>
          </w:p>
        </w:tc>
        <w:tc>
          <w:tcPr/>
          <w:p w:rsidR="00000000" w:rsidDel="00000000" w:rsidP="00000000" w:rsidRDefault="00000000" w:rsidRPr="00000000" w14:paraId="00000026">
            <w:pPr>
              <w:rPr/>
            </w:pPr>
            <w:r w:rsidDel="00000000" w:rsidR="00000000" w:rsidRPr="00000000">
              <w:rPr>
                <w:rtl w:val="0"/>
              </w:rPr>
              <w:t xml:space="preserve">$0.35 AUD (7.0%)</w:t>
            </w:r>
          </w:p>
        </w:tc>
        <w:tc>
          <w:tcPr/>
          <w:p w:rsidR="00000000" w:rsidDel="00000000" w:rsidP="00000000" w:rsidRDefault="00000000" w:rsidRPr="00000000" w14:paraId="00000027">
            <w:pPr>
              <w:rPr/>
            </w:pPr>
            <w:r w:rsidDel="00000000" w:rsidR="00000000" w:rsidRPr="00000000">
              <w:rPr>
                <w:b w:val="1"/>
                <w:bCs w:val="1"/>
                <w:rtl w:val="0"/>
              </w:rPr>
              <w:t xml:space="preserve">0.61</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Capital Compression:</w:t>
            </w:r>
            <w:r w:rsidDel="00000000" w:rsidR="00000000" w:rsidRPr="00000000">
              <w:rPr>
                <w:rtl w:val="0"/>
              </w:rPr>
              <w:t xml:space="preserve"> Narrow margin automated throughput.</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Stages 5–6: Commercial Baking</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1.67 W (35.6%)</w:t>
            </w:r>
          </w:p>
        </w:tc>
        <w:tc>
          <w:tcPr/>
          <w:p w:rsidR="00000000" w:rsidDel="00000000" w:rsidP="00000000" w:rsidRDefault="00000000" w:rsidRPr="00000000" w14:paraId="0000002B">
            <w:pPr>
              <w:rPr/>
            </w:pPr>
            <w:r w:rsidDel="00000000" w:rsidR="00000000" w:rsidRPr="00000000">
              <w:rPr>
                <w:rtl w:val="0"/>
              </w:rPr>
              <w:t xml:space="preserve">$1.10 AUD (22.0%)</w:t>
            </w:r>
          </w:p>
        </w:tc>
        <w:tc>
          <w:tcPr/>
          <w:p w:rsidR="00000000" w:rsidDel="00000000" w:rsidP="00000000" w:rsidRDefault="00000000" w:rsidRPr="00000000" w14:paraId="0000002C">
            <w:pPr>
              <w:rPr/>
            </w:pPr>
            <w:r w:rsidDel="00000000" w:rsidR="00000000" w:rsidRPr="00000000">
              <w:rPr>
                <w:b w:val="1"/>
                <w:bCs w:val="1"/>
                <w:rtl w:val="0"/>
              </w:rPr>
              <w:t xml:space="preserve">0.62</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Intermediate Production:</w:t>
            </w:r>
            <w:r w:rsidDel="00000000" w:rsidR="00000000" w:rsidRPr="00000000">
              <w:rPr>
                <w:rtl w:val="0"/>
              </w:rPr>
              <w:t xml:space="preserve"> Deck oven thermal exergy and trade baker labor.</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Stage 7: Slicing &amp; Packaging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0.31 W (6.6%)</w:t>
            </w:r>
          </w:p>
        </w:tc>
        <w:tc>
          <w:tcPr/>
          <w:p w:rsidR="00000000" w:rsidDel="00000000" w:rsidP="00000000" w:rsidRDefault="00000000" w:rsidRPr="00000000" w14:paraId="00000030">
            <w:pPr>
              <w:rPr/>
            </w:pPr>
            <w:r w:rsidDel="00000000" w:rsidR="00000000" w:rsidRPr="00000000">
              <w:rPr>
                <w:rtl w:val="0"/>
              </w:rPr>
              <w:t xml:space="preserve">$0.50 AUD (10.0%)</w:t>
            </w:r>
          </w:p>
        </w:tc>
        <w:tc>
          <w:tcPr/>
          <w:p w:rsidR="00000000" w:rsidDel="00000000" w:rsidP="00000000" w:rsidRDefault="00000000" w:rsidRPr="00000000" w14:paraId="00000031">
            <w:pPr>
              <w:rPr/>
            </w:pPr>
            <w:r w:rsidDel="00000000" w:rsidR="00000000" w:rsidRPr="00000000">
              <w:rPr>
                <w:b w:val="1"/>
                <w:bCs w:val="1"/>
                <w:rtl w:val="0"/>
              </w:rPr>
              <w:t xml:space="preserve">1.51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Packaging Overhead:</w:t>
            </w:r>
            <w:r w:rsidDel="00000000" w:rsidR="00000000" w:rsidRPr="00000000">
              <w:rPr>
                <w:rtl w:val="0"/>
              </w:rPr>
              <w:t xml:space="preserve"> Automated commercial distribution lines.</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Stage 8: Supermarket Retail</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0.22 W (4.7%)</w:t>
            </w:r>
          </w:p>
        </w:tc>
        <w:tc>
          <w:tcPr/>
          <w:p w:rsidR="00000000" w:rsidDel="00000000" w:rsidP="00000000" w:rsidRDefault="00000000" w:rsidRPr="00000000" w14:paraId="00000035">
            <w:pPr>
              <w:rPr/>
            </w:pPr>
            <w:r w:rsidDel="00000000" w:rsidR="00000000" w:rsidRPr="00000000">
              <w:rPr>
                <w:rtl w:val="0"/>
              </w:rPr>
              <w:t xml:space="preserve">$2.50 AUD (50.0%)</w:t>
            </w:r>
          </w:p>
        </w:tc>
        <w:tc>
          <w:tcPr/>
          <w:p w:rsidR="00000000" w:rsidDel="00000000" w:rsidP="00000000" w:rsidRDefault="00000000" w:rsidRPr="00000000" w14:paraId="00000036">
            <w:pPr>
              <w:rPr/>
            </w:pPr>
            <w:r w:rsidDel="00000000" w:rsidR="00000000" w:rsidRPr="00000000">
              <w:rPr>
                <w:b w:val="1"/>
                <w:bCs w:val="1"/>
                <w:rtl w:val="0"/>
              </w:rPr>
              <w:t xml:space="preserve">10.66</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Rentier Gatekeeping ($R_a \approx 0.40$):</w:t>
            </w:r>
            <w:r w:rsidDel="00000000" w:rsidR="00000000" w:rsidRPr="00000000">
              <w:rPr>
                <w:rtl w:val="0"/>
              </w:rPr>
              <w:t xml:space="preserve"> Duopoly shelf slotting capturing half the retail loaf price for &lt;5% of physical difficulty.</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Total System (1 Loaf)</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4.69 W (100%)</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$5.00 AUD (100%)</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Canonical Invariant Base ($TS_0$).</w:t>
            </w:r>
            <w:r w:rsidDel="00000000" w:rsidR="00000000" w:rsidRPr="00000000">
              <w:rPr>
                <w:rtl w:val="0"/>
              </w:rPr>
            </w:r>
          </w:p>
        </w:tc>
      </w:tr>
    </w:tbl>
    <w:p w:rsidR="00000000" w:rsidDel="00000000" w:rsidP="00000000" w:rsidRDefault="00000000" w:rsidRPr="00000000" w14:paraId="0000003D">
      <w:pPr>
        <w:pStyle w:val="Heading1"/>
        <w:rPr/>
      </w:pPr>
      <w:bookmarkStart w:colFirst="0" w:colLast="0" w:name="_blfopucdzcd0" w:id="5"/>
      <w:bookmarkEnd w:id="5"/>
      <w:r w:rsidDel="00000000" w:rsidR="00000000" w:rsidRPr="00000000">
        <w:rPr>
          <w:rtl w:val="0"/>
        </w:rPr>
        <w:t xml:space="preserve">3. The Legislative Solution: Theorem 5 (Statutory Debt Bifurcation)</w:t>
      </w:r>
    </w:p>
    <w:p w:rsidR="00000000" w:rsidDel="00000000" w:rsidP="00000000" w:rsidRDefault="00000000" w:rsidRPr="00000000" w14:paraId="0000003E">
      <w:pPr>
        <w:rPr/>
      </w:pPr>
      <w:r w:rsidDel="00000000" w:rsidR="00000000" w:rsidRPr="00000000">
        <w:rPr>
          <w:rtl w:val="0"/>
        </w:rPr>
        <w:t xml:space="preserve">To permanently resolve agricultural insolvency and food inflation, we propose enacting </w:t>
      </w:r>
      <w:r w:rsidDel="00000000" w:rsidR="00000000" w:rsidRPr="00000000">
        <w:rPr>
          <w:b w:val="1"/>
          <w:bCs w:val="1"/>
          <w:rtl w:val="0"/>
        </w:rPr>
        <w:t xml:space="preserve">Statutory Debt Bifurcation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$$\text{Class A (Productive Capital): } r_{\text{compound}} \equiv 0.0%, \quad \text{Amortization}(t) = \frac{C_{\text{principal}}}{T_{\text{term}}}$$</w:t>
      </w:r>
    </w:p>
    <w:p w:rsidR="00000000" w:rsidDel="00000000" w:rsidP="00000000" w:rsidRDefault="00000000" w:rsidRPr="00000000" w14:paraId="00000041">
      <w:pPr>
        <w:pStyle w:val="Heading2"/>
        <w:rPr/>
      </w:pPr>
      <w:bookmarkStart w:colFirst="0" w:colLast="0" w:name="_wfwsijlot2zt" w:id="6"/>
      <w:bookmarkEnd w:id="6"/>
      <w:r w:rsidDel="00000000" w:rsidR="00000000" w:rsidRPr="00000000">
        <w:rPr>
          <w:rtl w:val="0"/>
        </w:rPr>
        <w:t xml:space="preserve">Microeconomic Impact of Theorem 5</w:t>
      </w:r>
    </w:p>
    <w:p w:rsidR="00000000" w:rsidDel="00000000" w:rsidP="00000000" w:rsidRDefault="00000000" w:rsidRPr="00000000" w14:paraId="00000042">
      <w:pPr>
        <w:rPr/>
      </w:pPr>
      <w:r w:rsidDel="00000000" w:rsidR="00000000" w:rsidRPr="00000000">
        <w:rPr>
          <w:rtl w:val="0"/>
        </w:rPr>
        <w:t xml:space="preserve">In dynamic 156-week Stock-Flow Consistent (SFC) modeling of broadacre agricultural shires under compound rate, fuel, and climate shocks: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Neoclassical Debt Trap:</w:t>
      </w:r>
      <w:r w:rsidDel="00000000" w:rsidR="00000000" w:rsidRPr="00000000">
        <w:rPr>
          <w:rtl w:val="0"/>
        </w:rPr>
        <w:t xml:space="preserve"> Farm debt expanded from $18.0M to $18.4M AUD despite constant production, FMD cash reserves collapsed to $0.00, and retail bread rose to $5.65 AUD ($DQ = 1.369$).</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Value Physics Protocol (Theorem 5):</w:t>
      </w:r>
      <w:r w:rsidDel="00000000" w:rsidR="00000000" w:rsidRPr="00000000">
        <w:rPr>
          <w:rtl w:val="0"/>
        </w:rPr>
        <w:t xml:space="preserve"> Amortized </w:t>
      </w:r>
      <w:r w:rsidDel="00000000" w:rsidR="00000000" w:rsidRPr="00000000">
        <w:rPr>
          <w:b w:val="1"/>
          <w:bCs w:val="1"/>
          <w:rtl w:val="0"/>
        </w:rPr>
        <w:t xml:space="preserve">$2.16M of principal debt linearly</w:t>
      </w:r>
      <w:r w:rsidDel="00000000" w:rsidR="00000000" w:rsidRPr="00000000">
        <w:rPr>
          <w:rtl w:val="0"/>
        </w:rPr>
        <w:t xml:space="preserve">, expanded farm reserves to </w:t>
      </w:r>
      <w:r w:rsidDel="00000000" w:rsidR="00000000" w:rsidRPr="00000000">
        <w:rPr>
          <w:b w:val="1"/>
          <w:bCs w:val="1"/>
          <w:rtl w:val="0"/>
        </w:rPr>
        <w:t xml:space="preserve">$6.18M AUD</w:t>
      </w:r>
      <w:r w:rsidDel="00000000" w:rsidR="00000000" w:rsidRPr="00000000">
        <w:rPr>
          <w:rtl w:val="0"/>
        </w:rPr>
        <w:t xml:space="preserve">, preserved 100% solvency through severe droughts, and stabilized local shelf bread at </w:t>
      </w:r>
      <w:r w:rsidDel="00000000" w:rsidR="00000000" w:rsidRPr="00000000">
        <w:rPr>
          <w:b w:val="1"/>
          <w:bCs w:val="1"/>
          <w:rtl w:val="0"/>
        </w:rPr>
        <w:t xml:space="preserve">$1.15 AUD</w:t>
      </w:r>
      <w:r w:rsidDel="00000000" w:rsidR="00000000" w:rsidRPr="00000000">
        <w:rPr>
          <w:rtl w:val="0"/>
        </w:rPr>
        <w:t xml:space="preserve"> ($DQ = 1.000, \Delta R = $0.00$).</w:t>
      </w:r>
    </w:p>
    <w:p w:rsidR="00000000" w:rsidDel="00000000" w:rsidP="00000000" w:rsidRDefault="00000000" w:rsidRPr="00000000" w14:paraId="00000046">
      <w:pPr>
        <w:pStyle w:val="Heading1"/>
        <w:rPr/>
      </w:pPr>
      <w:bookmarkStart w:colFirst="0" w:colLast="0" w:name="_hjd7bkr40m7e" w:id="7"/>
      <w:bookmarkEnd w:id="7"/>
      <w:r w:rsidDel="00000000" w:rsidR="00000000" w:rsidRPr="00000000">
        <w:rPr>
          <w:rtl w:val="0"/>
        </w:rPr>
        <w:t xml:space="preserve">4. Operational Implementation Plan for Government Shires &amp; Mutuals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PHASE 1: MUNICIPAL MUTUAL CLEARING PILOT (Months 1–6)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Local government shires establish a Sovereign Clearing Trust under Corporations Act.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Connect local broadacre growers, stone-millers, and scratch bakers at P_H = $1.15.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Seed a 1,000-tonne strategic grain silo ($TS_0 Buffer) to insulate local supply.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PHASE 2: CREDIT UNION BIFURCATION (Months 6–18)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Partner with regional credit unions to refinance farm debt under Form SCU-A1.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Implement 0.0% compound interest linear amortization on agricultural machinery.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Deploy Book 3 Proof-of-Difficulty telemetry (tractor GPS, solar MPPT, flow meters).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PHASE 3: NATIONAL COHESIVE NETWORK EXPANSION (Months 18–36)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Enforce ACCC retail margin caps (R_a ≤ 12%) on essential non-discretionary staples.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Interlink regional shires via the Inter-Sovereign Trade Tensor (Ξ_trade).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Eliminate central bank rate hike transmission into regional cost-of-living indices.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pStyle w:val="Heading1"/>
        <w:rPr/>
      </w:pPr>
      <w:bookmarkStart w:colFirst="0" w:colLast="0" w:name="_6yl5ewf2ymq7" w:id="8"/>
      <w:bookmarkEnd w:id="8"/>
      <w:r w:rsidDel="00000000" w:rsidR="00000000" w:rsidRPr="00000000">
        <w:rPr>
          <w:rtl w:val="0"/>
        </w:rPr>
        <w:t xml:space="preserve">5. Model Legislative Provisions (Draft Clauses)</w:t>
      </w:r>
    </w:p>
    <w:p w:rsidR="00000000" w:rsidDel="00000000" w:rsidP="00000000" w:rsidRDefault="00000000" w:rsidRPr="00000000" w14:paraId="0000006F">
      <w:pPr>
        <w:pStyle w:val="Heading2"/>
        <w:rPr/>
      </w:pPr>
      <w:bookmarkStart w:colFirst="0" w:colLast="0" w:name="_jzd9fxhj379z" w:id="9"/>
      <w:bookmarkEnd w:id="9"/>
      <w:r w:rsidDel="00000000" w:rsidR="00000000" w:rsidRPr="00000000">
        <w:rPr>
          <w:rtl w:val="0"/>
        </w:rPr>
        <w:t xml:space="preserve">Clause 1: Statutory Productive Asset Protection</w:t>
      </w:r>
    </w:p>
    <w:p w:rsidR="00000000" w:rsidDel="00000000" w:rsidP="00000000" w:rsidRDefault="00000000" w:rsidRPr="00000000" w14:paraId="00000070">
      <w:pPr>
        <w:rPr/>
      </w:pPr>
      <w:r w:rsidDel="00000000" w:rsidR="00000000" w:rsidRPr="00000000">
        <w:rPr>
          <w:rtl w:val="0"/>
        </w:rPr>
        <w:t xml:space="preserve">(1) An Approved Deposit-Taking Institution (ADI) or Registered Financial Entity issuing credit for tangible agricultural production, regional potable water infrastructure, or decentralized renewable energy generation shall not charge compound interest or capitalized fees on the principal balance.</w:t>
        <w:br w:type="textWrapping"/>
        <w:t xml:space="preserve">(2) All amortizations shall proceed in equal linear periodic deductions over the certified operational life of the underlying asset ($T_{\text{term}}$).</w:t>
      </w:r>
    </w:p>
    <w:p w:rsidR="00000000" w:rsidDel="00000000" w:rsidP="00000000" w:rsidRDefault="00000000" w:rsidRPr="00000000" w14:paraId="00000071">
      <w:pPr>
        <w:pStyle w:val="Heading2"/>
        <w:rPr/>
      </w:pPr>
      <w:bookmarkStart w:colFirst="0" w:colLast="0" w:name="_9kfon9vr9h25" w:id="10"/>
      <w:bookmarkEnd w:id="10"/>
      <w:r w:rsidDel="00000000" w:rsidR="00000000" w:rsidRPr="00000000">
        <w:rPr>
          <w:rtl w:val="0"/>
        </w:rPr>
        <w:t xml:space="preserve">Clause 2: Concessional Climatic Hazard Pause</w:t>
      </w:r>
    </w:p>
    <w:p w:rsidR="00000000" w:rsidDel="00000000" w:rsidP="00000000" w:rsidRDefault="00000000" w:rsidRPr="00000000" w14:paraId="00000072">
      <w:pPr>
        <w:rPr/>
      </w:pPr>
      <w:r w:rsidDel="00000000" w:rsidR="00000000" w:rsidRPr="00000000">
        <w:rPr>
          <w:rtl w:val="0"/>
        </w:rPr>
        <w:t xml:space="preserve">In any declared regional drought, flood, or biosecurity emergency resulting in a certified yield decline exceeding 30%, debt amortization schedules under Clause 1 shall be paused without default penalty, interest accrual, or credit impairment.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Submitted for Official Review &amp; Legislative Consideration.</w:t>
        <w:br w:type="textWrapping"/>
        <w:t xml:space="preserve">Alethekanon Research Institute — Division 2: Societal Economics &amp; Value Physics.</w:t>
        <w:br w:type="textWrapping"/>
        <w:t xml:space="preserve">New South Wales,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Baskerville" w:cs="Libre Baskerville" w:eastAsia="Libre Baskerville" w:hAnsi="Libre Baskerville"/>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Work Sans" w:cs="Work Sans" w:eastAsia="Work Sans" w:hAnsi="Work Sans"/>
      <w:b w:val="1"/>
      <w:bCs w:val="1"/>
      <w:i w:val="0"/>
      <w:iCs w:val="0"/>
      <w:color w:val="1a2533"/>
      <w:sz w:val="35.2"/>
      <w:szCs w:val="35.2"/>
    </w:rPr>
  </w:style>
  <w:style w:type="paragraph" w:styleId="Heading2">
    <w:name w:val="heading 2"/>
    <w:basedOn w:val="Normal"/>
    <w:next w:val="Normal"/>
    <w:pPr>
      <w:keepNext w:val="1"/>
      <w:keepLines w:val="1"/>
      <w:pageBreakBefore w:val="0"/>
      <w:spacing w:after="80" w:before="360" w:line="288" w:lineRule="auto"/>
    </w:pPr>
    <w:rPr>
      <w:rFonts w:ascii="Work Sans" w:cs="Work Sans" w:eastAsia="Work Sans" w:hAnsi="Work Sans"/>
      <w:b w:val="1"/>
      <w:bCs w:val="1"/>
      <w:i w:val="0"/>
      <w:iCs w:val="0"/>
      <w:color w:val="2c3e50"/>
      <w:sz w:val="33"/>
      <w:szCs w:val="33"/>
    </w:rPr>
  </w:style>
  <w:style w:type="paragraph" w:styleId="Heading3">
    <w:name w:val="heading 3"/>
    <w:basedOn w:val="Normal"/>
    <w:next w:val="Normal"/>
    <w:pPr>
      <w:keepNext w:val="1"/>
      <w:keepLines w:val="1"/>
      <w:pageBreakBefore w:val="0"/>
      <w:spacing w:after="80" w:before="280" w:line="288" w:lineRule="auto"/>
    </w:pPr>
    <w:rPr>
      <w:rFonts w:ascii="Work Sans" w:cs="Work Sans" w:eastAsia="Work Sans" w:hAnsi="Work Sans"/>
      <w:b w:val="1"/>
      <w:bCs w:val="1"/>
      <w:i w:val="0"/>
      <w:iCs w:val="0"/>
      <w:color w:val="34495e"/>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Work Sans" w:cs="Work Sans" w:eastAsia="Work Sans" w:hAnsi="Work Sans"/>
      <w:b w:val="1"/>
      <w:bCs w:val="1"/>
      <w:i w:val="0"/>
      <w:iCs w:val="0"/>
      <w:color w:val="1a2533"/>
      <w:sz w:val="44"/>
      <w:szCs w:val="44"/>
    </w:rPr>
  </w:style>
  <w:style w:type="paragraph" w:styleId="Subtitle">
    <w:name w:val="Subtitle"/>
    <w:basedOn w:val="Normal"/>
    <w:next w:val="Normal"/>
    <w:pPr>
      <w:keepNext w:val="1"/>
      <w:keepLines w:val="1"/>
      <w:pageBreakBefore w:val="0"/>
      <w:spacing w:after="80" w:before="360" w:line="288" w:lineRule="auto"/>
    </w:pPr>
    <w:rPr>
      <w:rFonts w:ascii="Work Sans" w:cs="Work Sans" w:eastAsia="Work Sans" w:hAnsi="Work Sans"/>
      <w:b w:val="0"/>
      <w:bCs w:val="0"/>
      <w:i w:val="1"/>
      <w:iCs w:val="1"/>
      <w:color w:val="546e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Work Sans" w:cs="Work Sans" w:eastAsia="Work Sans" w:hAnsi="Work Sans"/>
        <w:b w:val="1"/>
        <w:bCs w:val="1"/>
        <w:i w:val="0"/>
        <w:iCs w:val="0"/>
        <w:color w:val="1a2533"/>
        <w:sz w:val="22"/>
        <w:szCs w:val="22"/>
      </w:rPr>
      <w:tcPr>
        <w:shd w:fill="f1f4f8"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