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oz40wg80xjup" w:id="0"/>
      <w:bookmarkEnd w:id="0"/>
      <w:r w:rsidDel="00000000" w:rsidR="00000000" w:rsidRPr="00000000">
        <w:rPr>
          <w:rtl w:val="0"/>
        </w:rPr>
        <w:t xml:space="preserve">Multi-Village Regional Network Simulation: Decentralized Mutual Credit, Asymmetric Climate Resilience, and Inter-Sovereign Trade Tensor Clearing</w:t>
      </w:r>
    </w:p>
    <w:p w:rsidR="00000000" w:rsidDel="00000000" w:rsidP="00000000" w:rsidRDefault="00000000" w:rsidRPr="00000000" w14:paraId="00000002">
      <w:pPr>
        <w:rPr/>
      </w:pPr>
      <w:r w:rsidDel="00000000" w:rsidR="00000000" w:rsidRPr="00000000">
        <w:rPr>
          <w:b w:val="1"/>
          <w:bCs w:val="1"/>
          <w:rtl w:val="0"/>
        </w:rPr>
        <w:t xml:space="preserve">Alethekanon Research Institute — Division 2: Societal Economics &amp; Macro-Micro Simulation</w:t>
      </w:r>
      <w:r w:rsidDel="00000000" w:rsidR="00000000" w:rsidRPr="00000000">
        <w:rPr>
          <w:rtl w:val="0"/>
        </w:rPr>
        <w:br w:type="textWrapping"/>
      </w:r>
      <w:r w:rsidDel="00000000" w:rsidR="00000000" w:rsidRPr="00000000">
        <w:rPr>
          <w:b w:val="1"/>
          <w:bCs w:val="1"/>
          <w:rtl w:val="0"/>
        </w:rPr>
        <w:t xml:space="preserve">Lead Author: The Researcher | Co-Author: Epistemic Auditor / Project Manager</w:t>
      </w:r>
      <w:r w:rsidDel="00000000" w:rsidR="00000000" w:rsidRPr="00000000">
        <w:rPr>
          <w:rtl w:val="0"/>
        </w:rPr>
        <w:br w:type="textWrapping"/>
      </w:r>
      <w:r w:rsidDel="00000000" w:rsidR="00000000" w:rsidRPr="00000000">
        <w:rPr>
          <w:b w:val="1"/>
          <w:bCs w:val="1"/>
          <w:rtl w:val="0"/>
        </w:rPr>
        <w:t xml:space="preserve">Institutional Identifier: ARI-VPE-SIM-2026-02</w:t>
      </w:r>
      <w:r w:rsidDel="00000000" w:rsidR="00000000" w:rsidRPr="00000000">
        <w:rPr>
          <w:rtl w:val="0"/>
        </w:rPr>
        <w:br w:type="textWrapping"/>
      </w:r>
      <w:r w:rsidDel="00000000" w:rsidR="00000000" w:rsidRPr="00000000">
        <w:rPr>
          <w:b w:val="1"/>
          <w:bCs w:val="1"/>
          <w:rtl w:val="0"/>
        </w:rPr>
        <w:t xml:space="preserve">Operational Classification: Master Simulation Treatise &amp; Regional Network Protocol</w:t>
      </w:r>
      <w:r w:rsidDel="00000000" w:rsidR="00000000" w:rsidRPr="00000000">
        <w:rPr>
          <w:rtl w:val="0"/>
        </w:rPr>
      </w:r>
    </w:p>
    <w:p w:rsidR="00000000" w:rsidDel="00000000" w:rsidP="00000000" w:rsidRDefault="00000000" w:rsidRPr="00000000" w14:paraId="00000003">
      <w:pPr>
        <w:pStyle w:val="Heading1"/>
        <w:rPr/>
      </w:pPr>
      <w:bookmarkStart w:colFirst="0" w:colLast="0" w:name="_dprdksqg9u01" w:id="1"/>
      <w:bookmarkEnd w:id="1"/>
      <w:r w:rsidDel="00000000" w:rsidR="00000000" w:rsidRPr="00000000">
        <w:rPr>
          <w:rtl w:val="0"/>
        </w:rPr>
        <w:t xml:space="preserve">Executive Summary</w:t>
      </w:r>
    </w:p>
    <w:p w:rsidR="00000000" w:rsidDel="00000000" w:rsidP="00000000" w:rsidRDefault="00000000" w:rsidRPr="00000000" w14:paraId="00000004">
      <w:pPr>
        <w:rPr/>
      </w:pPr>
      <w:r w:rsidDel="00000000" w:rsidR="00000000" w:rsidRPr="00000000">
        <w:rPr>
          <w:rtl w:val="0"/>
        </w:rPr>
        <w:t xml:space="preserve">Traditional regional economic models assume homogeneous spatial development and rely on centralized fiat debt financing to clear trade balances. Under asymmetric climate hazards (localized droughts, floods, or bushfires) and external monetary shocks (central bank rate tightening), regional economies experience severe liquidity drainage, bankruptcy contagion, and ecological asset stripping.</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This treatise presents a 10-node dynamic network simulation of interconnected regional communities across a 156-week operational horizon, modeling 6,500 total citizens across the Warrumbungle-Orana bioregion in New South Wales, Australia. We formalize the continuous-time Dynamic Leontief-Differential System ($\frac{d\mathbf{x}(t)}{dt} = (\mathbf{I} - \mathbf{A}(t))\mathbf{x}(t) - \mathbf{c}(t)$) and the Inter-Sovereign Trade Tensor ($\mathbf{\Xi}_{\text{trade}}$) to govern multi-commodity resource exchanges (Food, Energy, Water, Shelter, Care).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Under compound stressors—including a 30-week severe drought localized to northern agrarian nodes (50% yield reduction), a +65% global diesel fuel shock ($2.40/L), and a +425 bps central bank interest rate hike—the simulation demonstrates: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numPr>
          <w:ilvl w:val="0"/>
          <w:numId w:val="3"/>
        </w:numPr>
        <w:ind w:left="720" w:hanging="360"/>
      </w:pPr>
      <w:r w:rsidDel="00000000" w:rsidR="00000000" w:rsidRPr="00000000">
        <w:rPr>
          <w:b w:val="1"/>
          <w:bCs w:val="1"/>
          <w:rtl w:val="0"/>
        </w:rPr>
        <w:t xml:space="preserve">Neoclassical Debt Fragility:</w:t>
      </w:r>
      <w:r w:rsidDel="00000000" w:rsidR="00000000" w:rsidRPr="00000000">
        <w:rPr>
          <w:rtl w:val="0"/>
        </w:rPr>
        <w:t xml:space="preserve"> Centralized commercial banking mechanisms trigger widespread municipal and farm insolvencies ($10.0 / 10.0$ default rate), expanding cumulative debt to </w:t>
      </w:r>
      <w:r w:rsidDel="00000000" w:rsidR="00000000" w:rsidRPr="00000000">
        <w:rPr>
          <w:b w:val="1"/>
          <w:bCs w:val="1"/>
          <w:rtl w:val="0"/>
        </w:rPr>
        <w:t xml:space="preserve">$179.5M AUD</w:t>
      </w:r>
      <w:r w:rsidDel="00000000" w:rsidR="00000000" w:rsidRPr="00000000">
        <w:rPr>
          <w:rtl w:val="0"/>
        </w:rPr>
        <w:t xml:space="preserve"> and causing </w:t>
      </w:r>
      <w:r w:rsidDel="00000000" w:rsidR="00000000" w:rsidRPr="00000000">
        <w:rPr>
          <w:b w:val="1"/>
          <w:bCs w:val="1"/>
          <w:rtl w:val="0"/>
        </w:rPr>
        <w:t xml:space="preserve">$878.7k in unhedged ecological carrying capacity ($R_n$) destruction</w:t>
      </w:r>
      <w:r w:rsidDel="00000000" w:rsidR="00000000" w:rsidRPr="00000000">
        <w:rPr>
          <w:rtl w:val="0"/>
        </w:rPr>
        <w:t xml:space="preserve">.</w:t>
      </w:r>
    </w:p>
    <w:p w:rsidR="00000000" w:rsidDel="00000000" w:rsidP="00000000" w:rsidRDefault="00000000" w:rsidRPr="00000000" w14:paraId="0000000B">
      <w:pPr>
        <w:numPr>
          <w:ilvl w:val="0"/>
          <w:numId w:val="3"/>
        </w:numPr>
        <w:ind w:left="720" w:hanging="360"/>
      </w:pPr>
      <w:r w:rsidDel="00000000" w:rsidR="00000000" w:rsidRPr="00000000">
        <w:rPr>
          <w:b w:val="1"/>
          <w:bCs w:val="1"/>
          <w:rtl w:val="0"/>
        </w:rPr>
        <w:t xml:space="preserve">Value Physics Network Solvency:</w:t>
      </w:r>
      <w:r w:rsidDel="00000000" w:rsidR="00000000" w:rsidRPr="00000000">
        <w:rPr>
          <w:rtl w:val="0"/>
        </w:rPr>
        <w:t xml:space="preserve"> Operating under Theorem 5 (Statutory Debt Bifurcation at 0.0% interest), statutory disaster amortization pauses, and Book 2 shared strategic reserve transfers, the network maintains </w:t>
      </w:r>
      <w:r w:rsidDel="00000000" w:rsidR="00000000" w:rsidRPr="00000000">
        <w:rPr>
          <w:b w:val="1"/>
          <w:bCs w:val="1"/>
          <w:rtl w:val="0"/>
        </w:rPr>
        <w:t xml:space="preserve">100% solvency ($P_{\text{default}} = 0.000$)</w:t>
      </w:r>
      <w:r w:rsidDel="00000000" w:rsidR="00000000" w:rsidRPr="00000000">
        <w:rPr>
          <w:rtl w:val="0"/>
        </w:rPr>
        <w:t xml:space="preserve">, steadily pays down principal debt linearly to </w:t>
      </w:r>
      <w:r w:rsidDel="00000000" w:rsidR="00000000" w:rsidRPr="00000000">
        <w:rPr>
          <w:b w:val="1"/>
          <w:bCs w:val="1"/>
          <w:rtl w:val="0"/>
        </w:rPr>
        <w:t xml:space="preserve">$147.0M AUD</w:t>
      </w:r>
      <w:r w:rsidDel="00000000" w:rsidR="00000000" w:rsidRPr="00000000">
        <w:rPr>
          <w:rtl w:val="0"/>
        </w:rPr>
        <w:t xml:space="preserve">, accumulates </w:t>
      </w:r>
      <w:r w:rsidDel="00000000" w:rsidR="00000000" w:rsidRPr="00000000">
        <w:rPr>
          <w:b w:val="1"/>
          <w:bCs w:val="1"/>
          <w:rtl w:val="0"/>
        </w:rPr>
        <w:t xml:space="preserve">$42.0M WEST equivalents in collective emergency reserves</w:t>
      </w:r>
      <w:r w:rsidDel="00000000" w:rsidR="00000000" w:rsidRPr="00000000">
        <w:rPr>
          <w:rtl w:val="0"/>
        </w:rPr>
        <w:t xml:space="preserve">, and expands regional carrying capacity by </w:t>
      </w:r>
      <w:r w:rsidDel="00000000" w:rsidR="00000000" w:rsidRPr="00000000">
        <w:rPr>
          <w:b w:val="1"/>
          <w:bCs w:val="1"/>
          <w:rtl w:val="0"/>
        </w:rPr>
        <w:t xml:space="preserve">$+8.79M units</w:t>
      </w:r>
      <w:r w:rsidDel="00000000" w:rsidR="00000000" w:rsidRPr="00000000">
        <w:rPr>
          <w:rtl w:val="0"/>
        </w:rPr>
        <w:t xml:space="preserve">.</w:t>
      </w:r>
    </w:p>
    <w:p w:rsidR="00000000" w:rsidDel="00000000" w:rsidP="00000000" w:rsidRDefault="00000000" w:rsidRPr="00000000" w14:paraId="0000000C">
      <w:pPr>
        <w:pStyle w:val="Heading1"/>
        <w:rPr/>
      </w:pPr>
      <w:bookmarkStart w:colFirst="0" w:colLast="0" w:name="_y9ovtq56f6hn" w:id="2"/>
      <w:bookmarkEnd w:id="2"/>
      <w:r w:rsidDel="00000000" w:rsidR="00000000" w:rsidRPr="00000000">
        <w:rPr>
          <w:rtl w:val="0"/>
        </w:rPr>
        <w:t xml:space="preserve">1. Regional Network Topology &amp; Node Parameterization</w:t>
      </w:r>
    </w:p>
    <w:p w:rsidR="00000000" w:rsidDel="00000000" w:rsidP="00000000" w:rsidRDefault="00000000" w:rsidRPr="00000000" w14:paraId="0000000D">
      <w:pPr>
        <w:rPr/>
      </w:pPr>
      <w:r w:rsidDel="00000000" w:rsidR="00000000" w:rsidRPr="00000000">
        <w:rPr>
          <w:rtl w:val="0"/>
        </w:rPr>
        <w:t xml:space="preserve">The simulation models a heterogeneous 10-node regional network cluster representing specialized production hubs across an integrated bioregion: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17500.0" w:type="dxa"/>
        <w:jc w:val="left"/>
        <w:tblBorders>
          <w:top w:color="cbd5e0" w:space="0" w:sz="4" w:val="single"/>
          <w:left w:color="000000" w:space="0" w:sz="0" w:val="nil"/>
          <w:bottom w:color="cbd5e0" w:space="0" w:sz="4" w:val="single"/>
          <w:right w:color="000000" w:space="0" w:sz="0" w:val="nil"/>
          <w:insideH w:color="cbd5e0" w:space="0" w:sz="4" w:val="single"/>
          <w:insideV w:color="cbd5e0" w:space="0" w:sz="4" w:val="single"/>
        </w:tblBorders>
        <w:tblLayout w:type="fixed"/>
        <w:tblLook w:val="0620"/>
      </w:tblPr>
      <w:tblGrid>
        <w:gridCol w:w="3500"/>
        <w:gridCol w:w="3500"/>
        <w:gridCol w:w="3500"/>
        <w:gridCol w:w="3500"/>
        <w:gridCol w:w="3500"/>
        <w:tblGridChange w:id="0">
          <w:tblGrid>
            <w:gridCol w:w="3500"/>
            <w:gridCol w:w="3500"/>
            <w:gridCol w:w="3500"/>
            <w:gridCol w:w="3500"/>
            <w:gridCol w:w="3500"/>
          </w:tblGrid>
        </w:tblGridChange>
      </w:tblGrid>
      <w:tr>
        <w:trPr>
          <w:cantSplit w:val="0"/>
          <w:tblHeader w:val="1"/>
        </w:trPr>
        <w:tc>
          <w:tcPr/>
          <w:p w:rsidR="00000000" w:rsidDel="00000000" w:rsidP="00000000" w:rsidRDefault="00000000" w:rsidRPr="00000000" w14:paraId="0000000F">
            <w:pPr>
              <w:rPr/>
            </w:pPr>
            <w:r w:rsidDel="00000000" w:rsidR="00000000" w:rsidRPr="00000000">
              <w:rPr>
                <w:rtl w:val="0"/>
              </w:rPr>
              <w:t xml:space="preserve">Node ID</w:t>
            </w:r>
          </w:p>
        </w:tc>
        <w:tc>
          <w:tcPr/>
          <w:p w:rsidR="00000000" w:rsidDel="00000000" w:rsidP="00000000" w:rsidRDefault="00000000" w:rsidRPr="00000000" w14:paraId="00000010">
            <w:pPr>
              <w:rPr/>
            </w:pPr>
            <w:r w:rsidDel="00000000" w:rsidR="00000000" w:rsidRPr="00000000">
              <w:rPr>
                <w:rtl w:val="0"/>
              </w:rPr>
              <w:t xml:space="preserve">Node / Shire Name</w:t>
            </w:r>
          </w:p>
        </w:tc>
        <w:tc>
          <w:tcPr/>
          <w:p w:rsidR="00000000" w:rsidDel="00000000" w:rsidP="00000000" w:rsidRDefault="00000000" w:rsidRPr="00000000" w14:paraId="00000011">
            <w:pPr>
              <w:rPr/>
            </w:pPr>
            <w:r w:rsidDel="00000000" w:rsidR="00000000" w:rsidRPr="00000000">
              <w:rPr>
                <w:rtl w:val="0"/>
              </w:rPr>
              <w:t xml:space="preserve">Population ($N_i$)</w:t>
            </w:r>
          </w:p>
        </w:tc>
        <w:tc>
          <w:tcPr/>
          <w:p w:rsidR="00000000" w:rsidDel="00000000" w:rsidP="00000000" w:rsidRDefault="00000000" w:rsidRPr="00000000" w14:paraId="00000012">
            <w:pPr>
              <w:rPr/>
            </w:pPr>
            <w:r w:rsidDel="00000000" w:rsidR="00000000" w:rsidRPr="00000000">
              <w:rPr>
                <w:rtl w:val="0"/>
              </w:rPr>
              <w:t xml:space="preserve">Specialized Sector Endowment</w:t>
            </w:r>
          </w:p>
        </w:tc>
        <w:tc>
          <w:tcPr/>
          <w:p w:rsidR="00000000" w:rsidDel="00000000" w:rsidP="00000000" w:rsidRDefault="00000000" w:rsidRPr="00000000" w14:paraId="00000013">
            <w:pPr>
              <w:rPr/>
            </w:pPr>
            <w:r w:rsidDel="00000000" w:rsidR="00000000" w:rsidRPr="00000000">
              <w:rPr>
                <w:rtl w:val="0"/>
              </w:rPr>
              <w:t xml:space="preserve">Baseline Carrying Capacity ($R_{n,0}$)</w:t>
            </w:r>
          </w:p>
        </w:tc>
      </w:tr>
      <w:tr>
        <w:trPr>
          <w:cantSplit w:val="0"/>
          <w:tblHeader w:val="0"/>
        </w:trPr>
        <w:tc>
          <w:tcPr/>
          <w:p w:rsidR="00000000" w:rsidDel="00000000" w:rsidP="00000000" w:rsidRDefault="00000000" w:rsidRPr="00000000" w14:paraId="00000014">
            <w:pPr>
              <w:rPr/>
            </w:pPr>
            <w:r w:rsidDel="00000000" w:rsidR="00000000" w:rsidRPr="00000000">
              <w:rPr>
                <w:b w:val="1"/>
                <w:bCs w:val="1"/>
                <w:rtl w:val="0"/>
              </w:rPr>
              <w:t xml:space="preserve">Node 1</w:t>
            </w:r>
            <w:r w:rsidDel="00000000" w:rsidR="00000000" w:rsidRPr="00000000">
              <w:rPr>
                <w:rtl w:val="0"/>
              </w:rPr>
            </w:r>
          </w:p>
        </w:tc>
        <w:tc>
          <w:tcPr/>
          <w:p w:rsidR="00000000" w:rsidDel="00000000" w:rsidP="00000000" w:rsidRDefault="00000000" w:rsidRPr="00000000" w14:paraId="00000015">
            <w:pPr>
              <w:rPr/>
            </w:pPr>
            <w:r w:rsidDel="00000000" w:rsidR="00000000" w:rsidRPr="00000000">
              <w:rPr>
                <w:rtl w:val="0"/>
              </w:rPr>
              <w:t xml:space="preserve">Generic Regional Hub</w:t>
            </w:r>
          </w:p>
        </w:tc>
        <w:tc>
          <w:tcPr/>
          <w:p w:rsidR="00000000" w:rsidDel="00000000" w:rsidP="00000000" w:rsidRDefault="00000000" w:rsidRPr="00000000" w14:paraId="00000016">
            <w:pPr>
              <w:rPr/>
            </w:pPr>
            <w:r w:rsidDel="00000000" w:rsidR="00000000" w:rsidRPr="00000000">
              <w:rPr>
                <w:rtl w:val="0"/>
              </w:rPr>
              <w:t xml:space="preserve">800</w:t>
            </w:r>
          </w:p>
        </w:tc>
        <w:tc>
          <w:tcPr/>
          <w:p w:rsidR="00000000" w:rsidDel="00000000" w:rsidP="00000000" w:rsidRDefault="00000000" w:rsidRPr="00000000" w14:paraId="00000017">
            <w:pPr>
              <w:rPr/>
            </w:pPr>
            <w:r w:rsidDel="00000000" w:rsidR="00000000" w:rsidRPr="00000000">
              <w:rPr>
                <w:rtl w:val="0"/>
              </w:rPr>
              <w:t xml:space="preserve">Food (Broadacre Wheat &amp; Grain)</w:t>
            </w:r>
          </w:p>
        </w:tc>
        <w:tc>
          <w:tcPr/>
          <w:p w:rsidR="00000000" w:rsidDel="00000000" w:rsidP="00000000" w:rsidRDefault="00000000" w:rsidRPr="00000000" w14:paraId="00000018">
            <w:pPr>
              <w:rPr/>
            </w:pPr>
            <w:r w:rsidDel="00000000" w:rsidR="00000000" w:rsidRPr="00000000">
              <w:rPr>
                <w:rtl w:val="0"/>
              </w:rPr>
              <w:t xml:space="preserve">12,000 W</w:t>
            </w:r>
          </w:p>
        </w:tc>
      </w:tr>
      <w:tr>
        <w:trPr>
          <w:cantSplit w:val="0"/>
          <w:tblHeader w:val="0"/>
        </w:trPr>
        <w:tc>
          <w:tcPr/>
          <w:p w:rsidR="00000000" w:rsidDel="00000000" w:rsidP="00000000" w:rsidRDefault="00000000" w:rsidRPr="00000000" w14:paraId="00000019">
            <w:pPr>
              <w:rPr/>
            </w:pPr>
            <w:r w:rsidDel="00000000" w:rsidR="00000000" w:rsidRPr="00000000">
              <w:rPr>
                <w:b w:val="1"/>
                <w:bCs w:val="1"/>
                <w:rtl w:val="0"/>
              </w:rPr>
              <w:t xml:space="preserve">Node 2</w:t>
            </w:r>
            <w:r w:rsidDel="00000000" w:rsidR="00000000" w:rsidRPr="00000000">
              <w:rPr>
                <w:rtl w:val="0"/>
              </w:rPr>
            </w:r>
          </w:p>
        </w:tc>
        <w:tc>
          <w:tcPr/>
          <w:p w:rsidR="00000000" w:rsidDel="00000000" w:rsidP="00000000" w:rsidRDefault="00000000" w:rsidRPr="00000000" w14:paraId="0000001A">
            <w:pPr>
              <w:rPr/>
            </w:pPr>
            <w:r w:rsidDel="00000000" w:rsidR="00000000" w:rsidRPr="00000000">
              <w:rPr>
                <w:rtl w:val="0"/>
              </w:rPr>
              <w:t xml:space="preserve">Warrumbungle Solar South</w:t>
            </w:r>
          </w:p>
        </w:tc>
        <w:tc>
          <w:tcPr/>
          <w:p w:rsidR="00000000" w:rsidDel="00000000" w:rsidP="00000000" w:rsidRDefault="00000000" w:rsidRPr="00000000" w14:paraId="0000001B">
            <w:pPr>
              <w:rPr/>
            </w:pPr>
            <w:r w:rsidDel="00000000" w:rsidR="00000000" w:rsidRPr="00000000">
              <w:rPr>
                <w:rtl w:val="0"/>
              </w:rPr>
              <w:t xml:space="preserve">500</w:t>
            </w:r>
          </w:p>
        </w:tc>
        <w:tc>
          <w:tcPr/>
          <w:p w:rsidR="00000000" w:rsidDel="00000000" w:rsidP="00000000" w:rsidRDefault="00000000" w:rsidRPr="00000000" w14:paraId="0000001C">
            <w:pPr>
              <w:rPr/>
            </w:pPr>
            <w:r w:rsidDel="00000000" w:rsidR="00000000" w:rsidRPr="00000000">
              <w:rPr>
                <w:rtl w:val="0"/>
              </w:rPr>
              <w:t xml:space="preserve">Energy (Microgrid PV &amp; Storage)</w:t>
            </w:r>
          </w:p>
        </w:tc>
        <w:tc>
          <w:tcPr/>
          <w:p w:rsidR="00000000" w:rsidDel="00000000" w:rsidP="00000000" w:rsidRDefault="00000000" w:rsidRPr="00000000" w14:paraId="0000001D">
            <w:pPr>
              <w:rPr/>
            </w:pPr>
            <w:r w:rsidDel="00000000" w:rsidR="00000000" w:rsidRPr="00000000">
              <w:rPr>
                <w:rtl w:val="0"/>
              </w:rPr>
              <w:t xml:space="preserve">15,000 W</w:t>
            </w:r>
          </w:p>
        </w:tc>
      </w:tr>
      <w:tr>
        <w:trPr>
          <w:cantSplit w:val="0"/>
          <w:tblHeader w:val="0"/>
        </w:trPr>
        <w:tc>
          <w:tcPr/>
          <w:p w:rsidR="00000000" w:rsidDel="00000000" w:rsidP="00000000" w:rsidRDefault="00000000" w:rsidRPr="00000000" w14:paraId="0000001E">
            <w:pPr>
              <w:rPr/>
            </w:pPr>
            <w:r w:rsidDel="00000000" w:rsidR="00000000" w:rsidRPr="00000000">
              <w:rPr>
                <w:b w:val="1"/>
                <w:bCs w:val="1"/>
                <w:rtl w:val="0"/>
              </w:rPr>
              <w:t xml:space="preserve">Node 3</w:t>
            </w:r>
            <w:r w:rsidDel="00000000" w:rsidR="00000000" w:rsidRPr="00000000">
              <w:rPr>
                <w:rtl w:val="0"/>
              </w:rPr>
            </w:r>
          </w:p>
        </w:tc>
        <w:tc>
          <w:tcPr/>
          <w:p w:rsidR="00000000" w:rsidDel="00000000" w:rsidP="00000000" w:rsidRDefault="00000000" w:rsidRPr="00000000" w14:paraId="0000001F">
            <w:pPr>
              <w:rPr/>
            </w:pPr>
            <w:r w:rsidDel="00000000" w:rsidR="00000000" w:rsidRPr="00000000">
              <w:rPr>
                <w:rtl w:val="0"/>
              </w:rPr>
              <w:t xml:space="preserve">Castlereagh Water Catchment</w:t>
            </w:r>
          </w:p>
        </w:tc>
        <w:tc>
          <w:tcPr/>
          <w:p w:rsidR="00000000" w:rsidDel="00000000" w:rsidP="00000000" w:rsidRDefault="00000000" w:rsidRPr="00000000" w14:paraId="00000020">
            <w:pPr>
              <w:rPr/>
            </w:pPr>
            <w:r w:rsidDel="00000000" w:rsidR="00000000" w:rsidRPr="00000000">
              <w:rPr>
                <w:rtl w:val="0"/>
              </w:rPr>
              <w:t xml:space="preserve">450</w:t>
            </w:r>
          </w:p>
        </w:tc>
        <w:tc>
          <w:tcPr/>
          <w:p w:rsidR="00000000" w:rsidDel="00000000" w:rsidP="00000000" w:rsidRDefault="00000000" w:rsidRPr="00000000" w14:paraId="00000021">
            <w:pPr>
              <w:rPr/>
            </w:pPr>
            <w:r w:rsidDel="00000000" w:rsidR="00000000" w:rsidRPr="00000000">
              <w:rPr>
                <w:rtl w:val="0"/>
              </w:rPr>
              <w:t xml:space="preserve">Water (Potable Catchment &amp; Dams)</w:t>
            </w:r>
          </w:p>
        </w:tc>
        <w:tc>
          <w:tcPr/>
          <w:p w:rsidR="00000000" w:rsidDel="00000000" w:rsidP="00000000" w:rsidRDefault="00000000" w:rsidRPr="00000000" w14:paraId="00000022">
            <w:pPr>
              <w:rPr/>
            </w:pPr>
            <w:r w:rsidDel="00000000" w:rsidR="00000000" w:rsidRPr="00000000">
              <w:rPr>
                <w:rtl w:val="0"/>
              </w:rPr>
              <w:t xml:space="preserve">18,000 W</w:t>
            </w:r>
          </w:p>
        </w:tc>
      </w:tr>
      <w:tr>
        <w:trPr>
          <w:cantSplit w:val="0"/>
          <w:tblHeader w:val="0"/>
        </w:trPr>
        <w:tc>
          <w:tcPr/>
          <w:p w:rsidR="00000000" w:rsidDel="00000000" w:rsidP="00000000" w:rsidRDefault="00000000" w:rsidRPr="00000000" w14:paraId="00000023">
            <w:pPr>
              <w:rPr/>
            </w:pPr>
            <w:r w:rsidDel="00000000" w:rsidR="00000000" w:rsidRPr="00000000">
              <w:rPr>
                <w:b w:val="1"/>
                <w:bCs w:val="1"/>
                <w:rtl w:val="0"/>
              </w:rPr>
              <w:t xml:space="preserve">Node 4</w:t>
            </w:r>
            <w:r w:rsidDel="00000000" w:rsidR="00000000" w:rsidRPr="00000000">
              <w:rPr>
                <w:rtl w:val="0"/>
              </w:rPr>
            </w:r>
          </w:p>
        </w:tc>
        <w:tc>
          <w:tcPr/>
          <w:p w:rsidR="00000000" w:rsidDel="00000000" w:rsidP="00000000" w:rsidRDefault="00000000" w:rsidRPr="00000000" w14:paraId="00000024">
            <w:pPr>
              <w:rPr/>
            </w:pPr>
            <w:r w:rsidDel="00000000" w:rsidR="00000000" w:rsidRPr="00000000">
              <w:rPr>
                <w:rtl w:val="0"/>
              </w:rPr>
              <w:t xml:space="preserve">Binnaway Agro-Forestry</w:t>
            </w:r>
          </w:p>
        </w:tc>
        <w:tc>
          <w:tcPr/>
          <w:p w:rsidR="00000000" w:rsidDel="00000000" w:rsidP="00000000" w:rsidRDefault="00000000" w:rsidRPr="00000000" w14:paraId="00000025">
            <w:pPr>
              <w:rPr/>
            </w:pPr>
            <w:r w:rsidDel="00000000" w:rsidR="00000000" w:rsidRPr="00000000">
              <w:rPr>
                <w:rtl w:val="0"/>
              </w:rPr>
              <w:t xml:space="preserve">400</w:t>
            </w:r>
          </w:p>
        </w:tc>
        <w:tc>
          <w:tcPr/>
          <w:p w:rsidR="00000000" w:rsidDel="00000000" w:rsidP="00000000" w:rsidRDefault="00000000" w:rsidRPr="00000000" w14:paraId="00000026">
            <w:pPr>
              <w:rPr/>
            </w:pPr>
            <w:r w:rsidDel="00000000" w:rsidR="00000000" w:rsidRPr="00000000">
              <w:rPr>
                <w:rtl w:val="0"/>
              </w:rPr>
              <w:t xml:space="preserve">Shelter (Sustainable Timber / Earth)</w:t>
            </w:r>
          </w:p>
        </w:tc>
        <w:tc>
          <w:tcPr/>
          <w:p w:rsidR="00000000" w:rsidDel="00000000" w:rsidP="00000000" w:rsidRDefault="00000000" w:rsidRPr="00000000" w14:paraId="00000027">
            <w:pPr>
              <w:rPr/>
            </w:pPr>
            <w:r w:rsidDel="00000000" w:rsidR="00000000" w:rsidRPr="00000000">
              <w:rPr>
                <w:rtl w:val="0"/>
              </w:rPr>
              <w:t xml:space="preserve">9,000 W</w:t>
            </w:r>
          </w:p>
        </w:tc>
      </w:tr>
      <w:tr>
        <w:trPr>
          <w:cantSplit w:val="0"/>
          <w:tblHeader w:val="0"/>
        </w:trPr>
        <w:tc>
          <w:tcPr/>
          <w:p w:rsidR="00000000" w:rsidDel="00000000" w:rsidP="00000000" w:rsidRDefault="00000000" w:rsidRPr="00000000" w14:paraId="00000028">
            <w:pPr>
              <w:rPr/>
            </w:pPr>
            <w:r w:rsidDel="00000000" w:rsidR="00000000" w:rsidRPr="00000000">
              <w:rPr>
                <w:b w:val="1"/>
                <w:bCs w:val="1"/>
                <w:rtl w:val="0"/>
              </w:rPr>
              <w:t xml:space="preserve">Node 5</w:t>
            </w:r>
            <w:r w:rsidDel="00000000" w:rsidR="00000000" w:rsidRPr="00000000">
              <w:rPr>
                <w:rtl w:val="0"/>
              </w:rPr>
            </w:r>
          </w:p>
        </w:tc>
        <w:tc>
          <w:tcPr/>
          <w:p w:rsidR="00000000" w:rsidDel="00000000" w:rsidP="00000000" w:rsidRDefault="00000000" w:rsidRPr="00000000" w14:paraId="00000029">
            <w:pPr>
              <w:rPr/>
            </w:pPr>
            <w:r w:rsidDel="00000000" w:rsidR="00000000" w:rsidRPr="00000000">
              <w:rPr>
                <w:rtl w:val="0"/>
              </w:rPr>
              <w:t xml:space="preserve">Baradine Ecological Reserve</w:t>
            </w:r>
          </w:p>
        </w:tc>
        <w:tc>
          <w:tcPr/>
          <w:p w:rsidR="00000000" w:rsidDel="00000000" w:rsidP="00000000" w:rsidRDefault="00000000" w:rsidRPr="00000000" w14:paraId="0000002A">
            <w:pPr>
              <w:rPr/>
            </w:pPr>
            <w:r w:rsidDel="00000000" w:rsidR="00000000" w:rsidRPr="00000000">
              <w:rPr>
                <w:rtl w:val="0"/>
              </w:rPr>
              <w:t xml:space="preserve">350</w:t>
            </w:r>
          </w:p>
        </w:tc>
        <w:tc>
          <w:tcPr/>
          <w:p w:rsidR="00000000" w:rsidDel="00000000" w:rsidP="00000000" w:rsidRDefault="00000000" w:rsidRPr="00000000" w14:paraId="0000002B">
            <w:pPr>
              <w:rPr/>
            </w:pPr>
            <w:r w:rsidDel="00000000" w:rsidR="00000000" w:rsidRPr="00000000">
              <w:rPr>
                <w:rtl w:val="0"/>
              </w:rPr>
              <w:t xml:space="preserve">Food (Organic Permaculture &amp; Seed)</w:t>
            </w:r>
          </w:p>
        </w:tc>
        <w:tc>
          <w:tcPr/>
          <w:p w:rsidR="00000000" w:rsidDel="00000000" w:rsidP="00000000" w:rsidRDefault="00000000" w:rsidRPr="00000000" w14:paraId="0000002C">
            <w:pPr>
              <w:rPr/>
            </w:pPr>
            <w:r w:rsidDel="00000000" w:rsidR="00000000" w:rsidRPr="00000000">
              <w:rPr>
                <w:rtl w:val="0"/>
              </w:rPr>
              <w:t xml:space="preserve">8,500 W</w:t>
            </w:r>
          </w:p>
        </w:tc>
      </w:tr>
      <w:tr>
        <w:trPr>
          <w:cantSplit w:val="0"/>
          <w:tblHeader w:val="0"/>
        </w:trPr>
        <w:tc>
          <w:tcPr/>
          <w:p w:rsidR="00000000" w:rsidDel="00000000" w:rsidP="00000000" w:rsidRDefault="00000000" w:rsidRPr="00000000" w14:paraId="0000002D">
            <w:pPr>
              <w:rPr/>
            </w:pPr>
            <w:r w:rsidDel="00000000" w:rsidR="00000000" w:rsidRPr="00000000">
              <w:rPr>
                <w:b w:val="1"/>
                <w:bCs w:val="1"/>
                <w:rtl w:val="0"/>
              </w:rPr>
              <w:t xml:space="preserve">Node 6</w:t>
            </w:r>
            <w:r w:rsidDel="00000000" w:rsidR="00000000" w:rsidRPr="00000000">
              <w:rPr>
                <w:rtl w:val="0"/>
              </w:rPr>
            </w:r>
          </w:p>
        </w:tc>
        <w:tc>
          <w:tcPr/>
          <w:p w:rsidR="00000000" w:rsidDel="00000000" w:rsidP="00000000" w:rsidRDefault="00000000" w:rsidRPr="00000000" w14:paraId="0000002E">
            <w:pPr>
              <w:rPr/>
            </w:pPr>
            <w:r w:rsidDel="00000000" w:rsidR="00000000" w:rsidRPr="00000000">
              <w:rPr>
                <w:rtl w:val="0"/>
              </w:rPr>
              <w:t xml:space="preserve">Gilgandra Freight Junction</w:t>
            </w:r>
          </w:p>
        </w:tc>
        <w:tc>
          <w:tcPr/>
          <w:p w:rsidR="00000000" w:rsidDel="00000000" w:rsidP="00000000" w:rsidRDefault="00000000" w:rsidRPr="00000000" w14:paraId="0000002F">
            <w:pPr>
              <w:rPr/>
            </w:pPr>
            <w:r w:rsidDel="00000000" w:rsidR="00000000" w:rsidRPr="00000000">
              <w:rPr>
                <w:rtl w:val="0"/>
              </w:rPr>
              <w:t xml:space="preserve">900</w:t>
            </w:r>
          </w:p>
        </w:tc>
        <w:tc>
          <w:tcPr/>
          <w:p w:rsidR="00000000" w:rsidDel="00000000" w:rsidP="00000000" w:rsidRDefault="00000000" w:rsidRPr="00000000" w14:paraId="00000030">
            <w:pPr>
              <w:rPr/>
            </w:pPr>
            <w:r w:rsidDel="00000000" w:rsidR="00000000" w:rsidRPr="00000000">
              <w:rPr>
                <w:rtl w:val="0"/>
              </w:rPr>
              <w:t xml:space="preserve">Shelter &amp; Logistics (Transport Hub)</w:t>
            </w:r>
          </w:p>
        </w:tc>
        <w:tc>
          <w:tcPr/>
          <w:p w:rsidR="00000000" w:rsidDel="00000000" w:rsidP="00000000" w:rsidRDefault="00000000" w:rsidRPr="00000000" w14:paraId="00000031">
            <w:pPr>
              <w:rPr/>
            </w:pPr>
            <w:r w:rsidDel="00000000" w:rsidR="00000000" w:rsidRPr="00000000">
              <w:rPr>
                <w:rtl w:val="0"/>
              </w:rPr>
              <w:t xml:space="preserve">11,000 W</w:t>
            </w:r>
          </w:p>
        </w:tc>
      </w:tr>
      <w:tr>
        <w:trPr>
          <w:cantSplit w:val="0"/>
          <w:tblHeader w:val="0"/>
        </w:trPr>
        <w:tc>
          <w:tcPr/>
          <w:p w:rsidR="00000000" w:rsidDel="00000000" w:rsidP="00000000" w:rsidRDefault="00000000" w:rsidRPr="00000000" w14:paraId="00000032">
            <w:pPr>
              <w:rPr/>
            </w:pPr>
            <w:r w:rsidDel="00000000" w:rsidR="00000000" w:rsidRPr="00000000">
              <w:rPr>
                <w:b w:val="1"/>
                <w:bCs w:val="1"/>
                <w:rtl w:val="0"/>
              </w:rPr>
              <w:t xml:space="preserve">Node 7</w:t>
            </w:r>
            <w:r w:rsidDel="00000000" w:rsidR="00000000" w:rsidRPr="00000000">
              <w:rPr>
                <w:rtl w:val="0"/>
              </w:rPr>
            </w:r>
          </w:p>
        </w:tc>
        <w:tc>
          <w:tcPr/>
          <w:p w:rsidR="00000000" w:rsidDel="00000000" w:rsidP="00000000" w:rsidRDefault="00000000" w:rsidRPr="00000000" w14:paraId="00000033">
            <w:pPr>
              <w:rPr/>
            </w:pPr>
            <w:r w:rsidDel="00000000" w:rsidR="00000000" w:rsidRPr="00000000">
              <w:rPr>
                <w:rtl w:val="0"/>
              </w:rPr>
              <w:t xml:space="preserve">Dubbo Regional Clinical Hub</w:t>
            </w:r>
          </w:p>
        </w:tc>
        <w:tc>
          <w:tcPr/>
          <w:p w:rsidR="00000000" w:rsidDel="00000000" w:rsidP="00000000" w:rsidRDefault="00000000" w:rsidRPr="00000000" w14:paraId="00000034">
            <w:pPr>
              <w:rPr/>
            </w:pPr>
            <w:r w:rsidDel="00000000" w:rsidR="00000000" w:rsidRPr="00000000">
              <w:rPr>
                <w:rtl w:val="0"/>
              </w:rPr>
              <w:t xml:space="preserve">1,500</w:t>
            </w:r>
          </w:p>
        </w:tc>
        <w:tc>
          <w:tcPr/>
          <w:p w:rsidR="00000000" w:rsidDel="00000000" w:rsidP="00000000" w:rsidRDefault="00000000" w:rsidRPr="00000000" w14:paraId="00000035">
            <w:pPr>
              <w:rPr/>
            </w:pPr>
            <w:r w:rsidDel="00000000" w:rsidR="00000000" w:rsidRPr="00000000">
              <w:rPr>
                <w:rtl w:val="0"/>
              </w:rPr>
              <w:t xml:space="preserve">Care (Hospital &amp; Specialized Health)</w:t>
            </w:r>
          </w:p>
        </w:tc>
        <w:tc>
          <w:tcPr/>
          <w:p w:rsidR="00000000" w:rsidDel="00000000" w:rsidP="00000000" w:rsidRDefault="00000000" w:rsidRPr="00000000" w14:paraId="00000036">
            <w:pPr>
              <w:rPr/>
            </w:pPr>
            <w:r w:rsidDel="00000000" w:rsidR="00000000" w:rsidRPr="00000000">
              <w:rPr>
                <w:rtl w:val="0"/>
              </w:rPr>
              <w:t xml:space="preserve">20,000 W</w:t>
            </w:r>
          </w:p>
        </w:tc>
      </w:tr>
      <w:tr>
        <w:trPr>
          <w:cantSplit w:val="0"/>
          <w:tblHeader w:val="0"/>
        </w:trPr>
        <w:tc>
          <w:tcPr/>
          <w:p w:rsidR="00000000" w:rsidDel="00000000" w:rsidP="00000000" w:rsidRDefault="00000000" w:rsidRPr="00000000" w14:paraId="00000037">
            <w:pPr>
              <w:rPr/>
            </w:pPr>
            <w:r w:rsidDel="00000000" w:rsidR="00000000" w:rsidRPr="00000000">
              <w:rPr>
                <w:b w:val="1"/>
                <w:bCs w:val="1"/>
                <w:rtl w:val="0"/>
              </w:rPr>
              <w:t xml:space="preserve">Node 8</w:t>
            </w:r>
            <w:r w:rsidDel="00000000" w:rsidR="00000000" w:rsidRPr="00000000">
              <w:rPr>
                <w:rtl w:val="0"/>
              </w:rPr>
            </w:r>
          </w:p>
        </w:tc>
        <w:tc>
          <w:tcPr/>
          <w:p w:rsidR="00000000" w:rsidDel="00000000" w:rsidP="00000000" w:rsidRDefault="00000000" w:rsidRPr="00000000" w14:paraId="00000038">
            <w:pPr>
              <w:rPr/>
            </w:pPr>
            <w:r w:rsidDel="00000000" w:rsidR="00000000" w:rsidRPr="00000000">
              <w:rPr>
                <w:rtl w:val="0"/>
              </w:rPr>
              <w:t xml:space="preserve">Mendooran Grain Valley</w:t>
            </w:r>
          </w:p>
        </w:tc>
        <w:tc>
          <w:tcPr/>
          <w:p w:rsidR="00000000" w:rsidDel="00000000" w:rsidP="00000000" w:rsidRDefault="00000000" w:rsidRPr="00000000" w14:paraId="00000039">
            <w:pPr>
              <w:rPr/>
            </w:pPr>
            <w:r w:rsidDel="00000000" w:rsidR="00000000" w:rsidRPr="00000000">
              <w:rPr>
                <w:rtl w:val="0"/>
              </w:rPr>
              <w:t xml:space="preserve">450</w:t>
            </w:r>
          </w:p>
        </w:tc>
        <w:tc>
          <w:tcPr/>
          <w:p w:rsidR="00000000" w:rsidDel="00000000" w:rsidP="00000000" w:rsidRDefault="00000000" w:rsidRPr="00000000" w14:paraId="0000003A">
            <w:pPr>
              <w:rPr/>
            </w:pPr>
            <w:r w:rsidDel="00000000" w:rsidR="00000000" w:rsidRPr="00000000">
              <w:rPr>
                <w:rtl w:val="0"/>
              </w:rPr>
              <w:t xml:space="preserve">Food (Pulses &amp; Oilseeds)</w:t>
            </w:r>
          </w:p>
        </w:tc>
        <w:tc>
          <w:tcPr/>
          <w:p w:rsidR="00000000" w:rsidDel="00000000" w:rsidP="00000000" w:rsidRDefault="00000000" w:rsidRPr="00000000" w14:paraId="0000003B">
            <w:pPr>
              <w:rPr/>
            </w:pPr>
            <w:r w:rsidDel="00000000" w:rsidR="00000000" w:rsidRPr="00000000">
              <w:rPr>
                <w:rtl w:val="0"/>
              </w:rPr>
              <w:t xml:space="preserve">9,500 W</w:t>
            </w:r>
          </w:p>
        </w:tc>
      </w:tr>
      <w:tr>
        <w:trPr>
          <w:cantSplit w:val="0"/>
          <w:tblHeader w:val="0"/>
        </w:trPr>
        <w:tc>
          <w:tcPr/>
          <w:p w:rsidR="00000000" w:rsidDel="00000000" w:rsidP="00000000" w:rsidRDefault="00000000" w:rsidRPr="00000000" w14:paraId="0000003C">
            <w:pPr>
              <w:rPr/>
            </w:pPr>
            <w:r w:rsidDel="00000000" w:rsidR="00000000" w:rsidRPr="00000000">
              <w:rPr>
                <w:b w:val="1"/>
                <w:bCs w:val="1"/>
                <w:rtl w:val="0"/>
              </w:rPr>
              <w:t xml:space="preserve">Node 9</w:t>
            </w:r>
            <w:r w:rsidDel="00000000" w:rsidR="00000000" w:rsidRPr="00000000">
              <w:rPr>
                <w:rtl w:val="0"/>
              </w:rPr>
            </w:r>
          </w:p>
        </w:tc>
        <w:tc>
          <w:tcPr/>
          <w:p w:rsidR="00000000" w:rsidDel="00000000" w:rsidP="00000000" w:rsidRDefault="00000000" w:rsidRPr="00000000" w14:paraId="0000003D">
            <w:pPr>
              <w:rPr/>
            </w:pPr>
            <w:r w:rsidDel="00000000" w:rsidR="00000000" w:rsidRPr="00000000">
              <w:rPr>
                <w:rtl w:val="0"/>
              </w:rPr>
              <w:t xml:space="preserve">Coolah Renewable Grid</w:t>
            </w:r>
          </w:p>
        </w:tc>
        <w:tc>
          <w:tcPr/>
          <w:p w:rsidR="00000000" w:rsidDel="00000000" w:rsidP="00000000" w:rsidRDefault="00000000" w:rsidRPr="00000000" w14:paraId="0000003E">
            <w:pPr>
              <w:rPr/>
            </w:pPr>
            <w:r w:rsidDel="00000000" w:rsidR="00000000" w:rsidRPr="00000000">
              <w:rPr>
                <w:rtl w:val="0"/>
              </w:rPr>
              <w:t xml:space="preserve">550</w:t>
            </w:r>
          </w:p>
        </w:tc>
        <w:tc>
          <w:tcPr/>
          <w:p w:rsidR="00000000" w:rsidDel="00000000" w:rsidP="00000000" w:rsidRDefault="00000000" w:rsidRPr="00000000" w14:paraId="0000003F">
            <w:pPr>
              <w:rPr/>
            </w:pPr>
            <w:r w:rsidDel="00000000" w:rsidR="00000000" w:rsidRPr="00000000">
              <w:rPr>
                <w:rtl w:val="0"/>
              </w:rPr>
              <w:t xml:space="preserve">Energy (Wind &amp; Biomass)</w:t>
            </w:r>
          </w:p>
        </w:tc>
        <w:tc>
          <w:tcPr/>
          <w:p w:rsidR="00000000" w:rsidDel="00000000" w:rsidP="00000000" w:rsidRDefault="00000000" w:rsidRPr="00000000" w14:paraId="00000040">
            <w:pPr>
              <w:rPr/>
            </w:pPr>
            <w:r w:rsidDel="00000000" w:rsidR="00000000" w:rsidRPr="00000000">
              <w:rPr>
                <w:rtl w:val="0"/>
              </w:rPr>
              <w:t xml:space="preserve">13,000 W</w:t>
            </w:r>
          </w:p>
        </w:tc>
      </w:tr>
      <w:tr>
        <w:trPr>
          <w:cantSplit w:val="0"/>
          <w:tblHeader w:val="0"/>
        </w:trPr>
        <w:tc>
          <w:tcPr/>
          <w:p w:rsidR="00000000" w:rsidDel="00000000" w:rsidP="00000000" w:rsidRDefault="00000000" w:rsidRPr="00000000" w14:paraId="00000041">
            <w:pPr>
              <w:rPr/>
            </w:pPr>
            <w:r w:rsidDel="00000000" w:rsidR="00000000" w:rsidRPr="00000000">
              <w:rPr>
                <w:b w:val="1"/>
                <w:bCs w:val="1"/>
                <w:rtl w:val="0"/>
              </w:rPr>
              <w:t xml:space="preserve">Node 10</w:t>
            </w:r>
            <w:r w:rsidDel="00000000" w:rsidR="00000000" w:rsidRPr="00000000">
              <w:rPr>
                <w:rtl w:val="0"/>
              </w:rPr>
            </w:r>
          </w:p>
        </w:tc>
        <w:tc>
          <w:tcPr/>
          <w:p w:rsidR="00000000" w:rsidDel="00000000" w:rsidP="00000000" w:rsidRDefault="00000000" w:rsidRPr="00000000" w14:paraId="00000042">
            <w:pPr>
              <w:rPr/>
            </w:pPr>
            <w:r w:rsidDel="00000000" w:rsidR="00000000" w:rsidRPr="00000000">
              <w:rPr>
                <w:rtl w:val="0"/>
              </w:rPr>
              <w:t xml:space="preserve">Dunedoo Community Center</w:t>
            </w:r>
          </w:p>
        </w:tc>
        <w:tc>
          <w:tcPr/>
          <w:p w:rsidR="00000000" w:rsidDel="00000000" w:rsidP="00000000" w:rsidRDefault="00000000" w:rsidRPr="00000000" w14:paraId="00000043">
            <w:pPr>
              <w:rPr/>
            </w:pPr>
            <w:r w:rsidDel="00000000" w:rsidR="00000000" w:rsidRPr="00000000">
              <w:rPr>
                <w:rtl w:val="0"/>
              </w:rPr>
              <w:t xml:space="preserve">600</w:t>
            </w:r>
          </w:p>
        </w:tc>
        <w:tc>
          <w:tcPr/>
          <w:p w:rsidR="00000000" w:rsidDel="00000000" w:rsidP="00000000" w:rsidRDefault="00000000" w:rsidRPr="00000000" w14:paraId="00000044">
            <w:pPr>
              <w:rPr/>
            </w:pPr>
            <w:r w:rsidDel="00000000" w:rsidR="00000000" w:rsidRPr="00000000">
              <w:rPr>
                <w:rtl w:val="0"/>
              </w:rPr>
              <w:t xml:space="preserve">Care (Aged Care &amp; Education)</w:t>
            </w:r>
          </w:p>
        </w:tc>
        <w:tc>
          <w:tcPr/>
          <w:p w:rsidR="00000000" w:rsidDel="00000000" w:rsidP="00000000" w:rsidRDefault="00000000" w:rsidRPr="00000000" w14:paraId="00000045">
            <w:pPr>
              <w:rPr/>
            </w:pPr>
            <w:r w:rsidDel="00000000" w:rsidR="00000000" w:rsidRPr="00000000">
              <w:rPr>
                <w:rtl w:val="0"/>
              </w:rPr>
              <w:t xml:space="preserve">10,500 W</w:t>
            </w:r>
          </w:p>
        </w:tc>
      </w:tr>
    </w:tbl>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Total Regional Population:</w:t>
      </w:r>
      <w:r w:rsidDel="00000000" w:rsidR="00000000" w:rsidRPr="00000000">
        <w:rPr>
          <w:rtl w:val="0"/>
        </w:rPr>
        <w:t xml:space="preserve"> 6,500 citizens across 2,150 households and 70 distinct guild production enterprises.</w:t>
      </w:r>
    </w:p>
    <w:p w:rsidR="00000000" w:rsidDel="00000000" w:rsidP="00000000" w:rsidRDefault="00000000" w:rsidRPr="00000000" w14:paraId="00000048">
      <w:pPr>
        <w:pStyle w:val="Heading1"/>
        <w:rPr/>
      </w:pPr>
      <w:bookmarkStart w:colFirst="0" w:colLast="0" w:name="_xzqe88syhdpk" w:id="3"/>
      <w:bookmarkEnd w:id="3"/>
      <w:r w:rsidDel="00000000" w:rsidR="00000000" w:rsidRPr="00000000">
        <w:rPr>
          <w:rtl w:val="0"/>
        </w:rPr>
        <w:t xml:space="preserve">2. Inter-Sovereign Trade Tensor &amp; Dynamic Leontief Equations</w:t>
      </w:r>
    </w:p>
    <w:p w:rsidR="00000000" w:rsidDel="00000000" w:rsidP="00000000" w:rsidRDefault="00000000" w:rsidRPr="00000000" w14:paraId="00000049">
      <w:pPr>
        <w:pStyle w:val="Heading2"/>
        <w:rPr/>
      </w:pPr>
      <w:bookmarkStart w:colFirst="0" w:colLast="0" w:name="_qj7q7j7yrky1" w:id="4"/>
      <w:bookmarkEnd w:id="4"/>
      <w:r w:rsidDel="00000000" w:rsidR="00000000" w:rsidRPr="00000000">
        <w:rPr>
          <w:rtl w:val="0"/>
        </w:rPr>
        <w:t xml:space="preserve">2.1 The Regularized Inter-Sovereign Trade Tensor ($\mathbf{\Xi}_{\text{trade}}$)</w:t>
      </w:r>
    </w:p>
    <w:p w:rsidR="00000000" w:rsidDel="00000000" w:rsidP="00000000" w:rsidRDefault="00000000" w:rsidRPr="00000000" w14:paraId="0000004A">
      <w:pPr>
        <w:rPr/>
      </w:pPr>
      <w:r w:rsidDel="00000000" w:rsidR="00000000" w:rsidRPr="00000000">
        <w:rPr>
          <w:rtl w:val="0"/>
        </w:rPr>
        <w:t xml:space="preserve">When Node $i$ exports physical commodities to Node $j$, the bilateral exchange rate is governed strictly by relative difficulty and ecological replenishment well-depth:</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$$\mathbf{\Xi}</w:t>
      </w:r>
      <w:r w:rsidDel="00000000" w:rsidR="00000000" w:rsidRPr="00000000">
        <w:rPr>
          <w:i w:val="1"/>
          <w:iCs w:val="1"/>
          <w:rtl w:val="0"/>
        </w:rPr>
        <w:t xml:space="preserve">{\text{trade}}(i, j, t) = \frac{\text{WEST}</w:t>
      </w:r>
      <w:r w:rsidDel="00000000" w:rsidR="00000000" w:rsidRPr="00000000">
        <w:rPr>
          <w:rtl w:val="0"/>
        </w:rPr>
        <w:t xml:space="preserve">{\text{exported}}(i, t)}{\text{WEST}</w:t>
      </w:r>
      <w:r w:rsidDel="00000000" w:rsidR="00000000" w:rsidRPr="00000000">
        <w:rPr>
          <w:i w:val="1"/>
          <w:iCs w:val="1"/>
          <w:rtl w:val="0"/>
        </w:rPr>
        <w:t xml:space="preserve">{\text{imported}}(j, t)} \cdot \left[ \frac{R</w:t>
      </w:r>
      <w:r w:rsidDel="00000000" w:rsidR="00000000" w:rsidRPr="00000000">
        <w:rPr>
          <w:rtl w:val="0"/>
        </w:rPr>
        <w:t xml:space="preserve">{n,i}(t) + \Delta R_{n,i}(t)}{R_{n,j}(t) + \Delta R_{n,j}(t)} \right] \cdot \exp\left( -\frac{d_{ij}}{L_0} \cdot \frac{P_{3}(t)}{P_{3,0}} \right)$$</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Where: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numPr>
          <w:ilvl w:val="0"/>
          <w:numId w:val="6"/>
        </w:numPr>
        <w:ind w:left="720" w:hanging="360"/>
      </w:pPr>
      <w:r w:rsidDel="00000000" w:rsidR="00000000" w:rsidRPr="00000000">
        <w:rPr>
          <w:rtl w:val="0"/>
        </w:rPr>
        <w:t xml:space="preserve">$d_{ij}$ is the spatial Euclidean distance between nodes (ranging from $15\text{ km}$ to $136\text{ km}$).</w:t>
      </w:r>
    </w:p>
    <w:p w:rsidR="00000000" w:rsidDel="00000000" w:rsidP="00000000" w:rsidRDefault="00000000" w:rsidRPr="00000000" w14:paraId="00000051">
      <w:pPr>
        <w:numPr>
          <w:ilvl w:val="0"/>
          <w:numId w:val="6"/>
        </w:numPr>
        <w:ind w:left="720" w:hanging="360"/>
      </w:pPr>
      <w:r w:rsidDel="00000000" w:rsidR="00000000" w:rsidRPr="00000000">
        <w:rPr>
          <w:rtl w:val="0"/>
        </w:rPr>
        <w:t xml:space="preserve">$L_0 = 100\text{ km}$ is the characteristic regional transport decay scale.</w:t>
      </w:r>
    </w:p>
    <w:p w:rsidR="00000000" w:rsidDel="00000000" w:rsidP="00000000" w:rsidRDefault="00000000" w:rsidRPr="00000000" w14:paraId="00000052">
      <w:pPr>
        <w:numPr>
          <w:ilvl w:val="0"/>
          <w:numId w:val="6"/>
        </w:numPr>
        <w:ind w:left="720" w:hanging="360"/>
      </w:pPr>
      <w:r w:rsidDel="00000000" w:rsidR="00000000" w:rsidRPr="00000000">
        <w:rPr>
          <w:rtl w:val="0"/>
        </w:rPr>
        <w:t xml:space="preserve">$P_3(t) / P_{3,0}$ is the real fuel price friction multiplier.</w:t>
      </w:r>
    </w:p>
    <w:p w:rsidR="00000000" w:rsidDel="00000000" w:rsidP="00000000" w:rsidRDefault="00000000" w:rsidRPr="00000000" w14:paraId="00000053">
      <w:pPr>
        <w:numPr>
          <w:ilvl w:val="0"/>
          <w:numId w:val="6"/>
        </w:numPr>
        <w:ind w:left="720" w:hanging="360"/>
      </w:pPr>
      <w:r w:rsidDel="00000000" w:rsidR="00000000" w:rsidRPr="00000000">
        <w:rPr>
          <w:rtl w:val="0"/>
        </w:rPr>
        <w:t xml:space="preserve">The carrying capacity ratio $\frac{R_{n,i} + \Delta R_{n,i}}{R_{n,j} + \Delta R_{n,j}}$ ensures that resource-depleting exports are automatically taxed while ecological regeneration earns an exchange premium.</w:t>
      </w:r>
    </w:p>
    <w:p w:rsidR="00000000" w:rsidDel="00000000" w:rsidP="00000000" w:rsidRDefault="00000000" w:rsidRPr="00000000" w14:paraId="00000054">
      <w:pPr>
        <w:pStyle w:val="Heading2"/>
        <w:rPr/>
      </w:pPr>
      <w:bookmarkStart w:colFirst="0" w:colLast="0" w:name="_la57y44znfax" w:id="5"/>
      <w:bookmarkEnd w:id="5"/>
      <w:r w:rsidDel="00000000" w:rsidR="00000000" w:rsidRPr="00000000">
        <w:rPr>
          <w:rtl w:val="0"/>
        </w:rPr>
        <w:t xml:space="preserve">2.2 Time-Varying Dynamic Leontief-Differential System</w:t>
      </w:r>
    </w:p>
    <w:p w:rsidR="00000000" w:rsidDel="00000000" w:rsidP="00000000" w:rsidRDefault="00000000" w:rsidRPr="00000000" w14:paraId="00000055">
      <w:pPr>
        <w:rPr/>
      </w:pPr>
      <w:r w:rsidDel="00000000" w:rsidR="00000000" w:rsidRPr="00000000">
        <w:rPr>
          <w:rtl w:val="0"/>
        </w:rPr>
        <w:t xml:space="preserve">To model continuous seasonal variations and equipment exergy aging, the production balance is governed by:</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$$\frac{d\mathbf{x}(t)}{dt} = (\mathbf{I} - \mathbf{A}(t))\mathbf{x}(t) - \mathbf{c}(t)$$</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Where technical coefficients $a_{ij}(t) = a_{ij,0} \cdot [1 + \kappa_{\text{season}}\sin(\omega t) + \delta_{\text{wear}}(t)]$ capture summer cooling and irrigation pumping peaks ($a_{1,2}$ and $a_{1,3}$) and battery storage degradation ($\delta_{\text{wear}}$).</w:t>
      </w:r>
    </w:p>
    <w:p w:rsidR="00000000" w:rsidDel="00000000" w:rsidP="00000000" w:rsidRDefault="00000000" w:rsidRPr="00000000" w14:paraId="0000005A">
      <w:pPr>
        <w:pStyle w:val="Heading1"/>
        <w:rPr/>
      </w:pPr>
      <w:bookmarkStart w:colFirst="0" w:colLast="0" w:name="_8swbqgt4dldw" w:id="6"/>
      <w:bookmarkEnd w:id="6"/>
      <w:r w:rsidDel="00000000" w:rsidR="00000000" w:rsidRPr="00000000">
        <w:rPr>
          <w:rtl w:val="0"/>
        </w:rPr>
        <w:t xml:space="preserve">3. Decentralized Tri-Fold Multi-Guild Clearing Architecture</w:t>
      </w:r>
    </w:p>
    <w:p w:rsidR="00000000" w:rsidDel="00000000" w:rsidP="00000000" w:rsidRDefault="00000000" w:rsidRPr="00000000" w14:paraId="0000005B">
      <w:pPr>
        <w:rPr/>
      </w:pPr>
      <w:r w:rsidDel="00000000" w:rsidR="00000000" w:rsidRPr="00000000">
        <w:rPr>
          <w:rtl w:val="0"/>
        </w:rPr>
        <w:t xml:space="preserve">The 10-node cluster operates a synchronized Tri-Fold Ledger protocol:</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numPr>
          <w:ilvl w:val="0"/>
          <w:numId w:val="4"/>
        </w:numPr>
        <w:ind w:left="720" w:hanging="360"/>
      </w:pPr>
      <w:r w:rsidDel="00000000" w:rsidR="00000000" w:rsidRPr="00000000">
        <w:rPr>
          <w:b w:val="1"/>
          <w:bCs w:val="1"/>
          <w:rtl w:val="0"/>
        </w:rPr>
        <w:t xml:space="preserve">Book 1 (Intra-Cluster Mutual Credit):</w:t>
      </w:r>
      <w:r w:rsidDel="00000000" w:rsidR="00000000" w:rsidRPr="00000000">
        <w:rPr>
          <w:rtl w:val="0"/>
        </w:rPr>
        <w:t xml:space="preserve"> Individual citizens and guild enterprises clear routine daily transactions (groceries, microgrid power, clinical visits) at $0.0%$ interest with balance bounds set to 90 days of average consumption.</w:t>
      </w:r>
    </w:p>
    <w:p w:rsidR="00000000" w:rsidDel="00000000" w:rsidP="00000000" w:rsidRDefault="00000000" w:rsidRPr="00000000" w14:paraId="0000005E">
      <w:pPr>
        <w:numPr>
          <w:ilvl w:val="0"/>
          <w:numId w:val="4"/>
        </w:numPr>
        <w:ind w:left="720" w:hanging="360"/>
      </w:pPr>
      <w:r w:rsidDel="00000000" w:rsidR="00000000" w:rsidRPr="00000000">
        <w:rPr>
          <w:b w:val="1"/>
          <w:bCs w:val="1"/>
          <w:rtl w:val="0"/>
        </w:rPr>
        <w:t xml:space="preserve">Book 2 (Regional Sovereign Trust Buffers):</w:t>
      </w:r>
      <w:r w:rsidDel="00000000" w:rsidR="00000000" w:rsidRPr="00000000">
        <w:rPr>
          <w:rtl w:val="0"/>
        </w:rPr>
        <w:t xml:space="preserve"> Each village maintains a sovereign reserve in strategic physical assets (Silo Grain, Water Storage, Battery MWh). During declared climate disasters, Book 2 automatically executes cross-node buffer transfers to supply deficient nodes without financial debt creation.</w:t>
      </w:r>
    </w:p>
    <w:p w:rsidR="00000000" w:rsidDel="00000000" w:rsidP="00000000" w:rsidRDefault="00000000" w:rsidRPr="00000000" w14:paraId="0000005F">
      <w:pPr>
        <w:numPr>
          <w:ilvl w:val="0"/>
          <w:numId w:val="4"/>
        </w:numPr>
        <w:ind w:left="720" w:hanging="360"/>
      </w:pPr>
      <w:r w:rsidDel="00000000" w:rsidR="00000000" w:rsidRPr="00000000">
        <w:rPr>
          <w:b w:val="1"/>
          <w:bCs w:val="1"/>
          <w:rtl w:val="0"/>
        </w:rPr>
        <w:t xml:space="preserve">Book 3 (Cryptographic Reality Ledger):</w:t>
      </w:r>
      <w:r w:rsidDel="00000000" w:rsidR="00000000" w:rsidRPr="00000000">
        <w:rPr>
          <w:rtl w:val="0"/>
        </w:rPr>
        <w:t xml:space="preserve"> Multi-sig Proof-of-Difficulty block headers (</w:t>
      </w:r>
      <w:r w:rsidDel="00000000" w:rsidR="00000000" w:rsidRPr="00000000">
        <w:rPr>
          <w:rFonts w:ascii="Roboto Mono" w:cs="Roboto Mono" w:eastAsia="Roboto Mono" w:hAnsi="Roboto Mono"/>
          <w:color w:val="188038"/>
          <w:rtl w:val="0"/>
        </w:rPr>
        <w:t xml:space="preserve">struct PoD_BlockHeader</w:t>
      </w:r>
      <w:r w:rsidDel="00000000" w:rsidR="00000000" w:rsidRPr="00000000">
        <w:rPr>
          <w:rtl w:val="0"/>
        </w:rPr>
        <w:t xml:space="preserve">) ingest physical IoT telemetry (solar inverters, flow meters, weighbridges) to verify all production before Book 2 credits can be minted.</w:t>
      </w:r>
    </w:p>
    <w:p w:rsidR="00000000" w:rsidDel="00000000" w:rsidP="00000000" w:rsidRDefault="00000000" w:rsidRPr="00000000" w14:paraId="00000060">
      <w:pPr>
        <w:pStyle w:val="Heading1"/>
        <w:rPr/>
      </w:pPr>
      <w:bookmarkStart w:colFirst="0" w:colLast="0" w:name="_d3iq22yg7yhf" w:id="7"/>
      <w:bookmarkEnd w:id="7"/>
      <w:r w:rsidDel="00000000" w:rsidR="00000000" w:rsidRPr="00000000">
        <w:rPr>
          <w:rtl w:val="0"/>
        </w:rPr>
        <w:t xml:space="preserve">4. Simulation Scenarios &amp; Empirical Stress-Testing (156 Weeks)</w:t>
      </w:r>
    </w:p>
    <w:p w:rsidR="00000000" w:rsidDel="00000000" w:rsidP="00000000" w:rsidRDefault="00000000" w:rsidRPr="00000000" w14:paraId="00000061">
      <w:pPr>
        <w:rPr/>
      </w:pPr>
      <w:r w:rsidDel="00000000" w:rsidR="00000000" w:rsidRPr="00000000">
        <w:rPr>
          <w:rtl w:val="0"/>
        </w:rPr>
        <w:t xml:space="preserve">The simulation tests the 10-node network across 156 consecutive weeks under a compound triple shock:</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numPr>
          <w:ilvl w:val="0"/>
          <w:numId w:val="2"/>
        </w:numPr>
        <w:ind w:left="720" w:hanging="360"/>
      </w:pPr>
      <w:r w:rsidDel="00000000" w:rsidR="00000000" w:rsidRPr="00000000">
        <w:rPr>
          <w:b w:val="1"/>
          <w:bCs w:val="1"/>
          <w:rtl w:val="0"/>
        </w:rPr>
        <w:t xml:space="preserve">Monetary Tightening Shock (Weeks 10–156):</w:t>
      </w:r>
      <w:r w:rsidDel="00000000" w:rsidR="00000000" w:rsidRPr="00000000">
        <w:rPr>
          <w:rtl w:val="0"/>
        </w:rPr>
        <w:t xml:space="preserve"> Commercial cash rate increases by +425 bps (effective borrowing rate rises from 7.5% to 11.75%).</w:t>
      </w:r>
    </w:p>
    <w:p w:rsidR="00000000" w:rsidDel="00000000" w:rsidP="00000000" w:rsidRDefault="00000000" w:rsidRPr="00000000" w14:paraId="00000064">
      <w:pPr>
        <w:numPr>
          <w:ilvl w:val="0"/>
          <w:numId w:val="2"/>
        </w:numPr>
        <w:ind w:left="720" w:hanging="360"/>
      </w:pPr>
      <w:r w:rsidDel="00000000" w:rsidR="00000000" w:rsidRPr="00000000">
        <w:rPr>
          <w:b w:val="1"/>
          <w:bCs w:val="1"/>
          <w:rtl w:val="0"/>
        </w:rPr>
        <w:t xml:space="preserve">Asymmetric Climate Disaster (Weeks 40–70):</w:t>
      </w:r>
      <w:r w:rsidDel="00000000" w:rsidR="00000000" w:rsidRPr="00000000">
        <w:rPr>
          <w:rtl w:val="0"/>
        </w:rPr>
        <w:t xml:space="preserve"> Severe 30-week localized drought strikes Northern Nodes (1, 3, and 5), reducing agricultural and water yields by 50%.</w:t>
      </w:r>
    </w:p>
    <w:p w:rsidR="00000000" w:rsidDel="00000000" w:rsidP="00000000" w:rsidRDefault="00000000" w:rsidRPr="00000000" w14:paraId="00000065">
      <w:pPr>
        <w:numPr>
          <w:ilvl w:val="0"/>
          <w:numId w:val="2"/>
        </w:numPr>
        <w:ind w:left="720" w:hanging="360"/>
      </w:pPr>
      <w:r w:rsidDel="00000000" w:rsidR="00000000" w:rsidRPr="00000000">
        <w:rPr>
          <w:b w:val="1"/>
          <w:bCs w:val="1"/>
          <w:rtl w:val="0"/>
        </w:rPr>
        <w:t xml:space="preserve">Regional Freight Friction Shock (Weeks 80–95):</w:t>
      </w:r>
      <w:r w:rsidDel="00000000" w:rsidR="00000000" w:rsidRPr="00000000">
        <w:rPr>
          <w:rtl w:val="0"/>
        </w:rPr>
        <w:t xml:space="preserve"> Diesel fuel prices spike from $1.45 to $2.40/L, increasing spatial transport friction across the 10-node grid.</w:t>
      </w:r>
    </w:p>
    <w:p w:rsidR="00000000" w:rsidDel="00000000" w:rsidP="00000000" w:rsidRDefault="00000000" w:rsidRPr="00000000" w14:paraId="00000066">
      <w:pPr>
        <w:pStyle w:val="Heading2"/>
        <w:rPr/>
      </w:pPr>
      <w:bookmarkStart w:colFirst="0" w:colLast="0" w:name="_e52gm226tc4v" w:id="8"/>
      <w:bookmarkEnd w:id="8"/>
      <w:r w:rsidDel="00000000" w:rsidR="00000000" w:rsidRPr="00000000">
        <w:rPr>
          <w:rtl w:val="0"/>
        </w:rPr>
        <w:t xml:space="preserve">Comparative 156-Week Simulation Results</w:t>
      </w:r>
    </w:p>
    <w:tbl>
      <w:tblPr>
        <w:tblStyle w:val="Table2"/>
        <w:tblW w:w="10500.0" w:type="dxa"/>
        <w:jc w:val="left"/>
        <w:tblBorders>
          <w:top w:color="cbd5e0" w:space="0" w:sz="4" w:val="single"/>
          <w:left w:color="000000" w:space="0" w:sz="0" w:val="nil"/>
          <w:bottom w:color="cbd5e0" w:space="0" w:sz="4" w:val="single"/>
          <w:right w:color="000000" w:space="0" w:sz="0" w:val="nil"/>
          <w:insideH w:color="cbd5e0" w:space="0" w:sz="4" w:val="single"/>
          <w:insideV w:color="cbd5e0" w:space="0" w:sz="4" w:val="single"/>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67">
            <w:pPr>
              <w:rPr/>
            </w:pPr>
            <w:r w:rsidDel="00000000" w:rsidR="00000000" w:rsidRPr="00000000">
              <w:rPr>
                <w:rtl w:val="0"/>
              </w:rPr>
              <w:t xml:space="preserve">METRIC / INDICATOR</w:t>
            </w:r>
          </w:p>
        </w:tc>
        <w:tc>
          <w:tcPr/>
          <w:p w:rsidR="00000000" w:rsidDel="00000000" w:rsidP="00000000" w:rsidRDefault="00000000" w:rsidRPr="00000000" w14:paraId="00000068">
            <w:pPr>
              <w:rPr/>
            </w:pPr>
            <w:r w:rsidDel="00000000" w:rsidR="00000000" w:rsidRPr="00000000">
              <w:rPr>
                <w:rtl w:val="0"/>
              </w:rPr>
              <w:t xml:space="preserve">NEOCLASSICAL STATUS QUO</w:t>
            </w:r>
          </w:p>
        </w:tc>
        <w:tc>
          <w:tcPr/>
          <w:p w:rsidR="00000000" w:rsidDel="00000000" w:rsidP="00000000" w:rsidRDefault="00000000" w:rsidRPr="00000000" w14:paraId="00000069">
            <w:pPr>
              <w:rPr/>
            </w:pPr>
            <w:r w:rsidDel="00000000" w:rsidR="00000000" w:rsidRPr="00000000">
              <w:rPr>
                <w:rtl w:val="0"/>
              </w:rPr>
              <w:t xml:space="preserve">VALUE PHYSICS PROTOCOL</w:t>
            </w:r>
          </w:p>
        </w:tc>
      </w:tr>
      <w:tr>
        <w:trPr>
          <w:cantSplit w:val="0"/>
          <w:tblHeader w:val="0"/>
        </w:trPr>
        <w:tc>
          <w:tcPr/>
          <w:p w:rsidR="00000000" w:rsidDel="00000000" w:rsidP="00000000" w:rsidRDefault="00000000" w:rsidRPr="00000000" w14:paraId="0000006A">
            <w:pPr>
              <w:rPr/>
            </w:pPr>
            <w:r w:rsidDel="00000000" w:rsidR="00000000" w:rsidRPr="00000000">
              <w:rPr>
                <w:rtl w:val="0"/>
              </w:rPr>
              <w:t xml:space="preserve">Cluster Default Rate</w:t>
            </w:r>
          </w:p>
        </w:tc>
        <w:tc>
          <w:tcPr/>
          <w:p w:rsidR="00000000" w:rsidDel="00000000" w:rsidP="00000000" w:rsidRDefault="00000000" w:rsidRPr="00000000" w14:paraId="0000006B">
            <w:pPr>
              <w:rPr/>
            </w:pPr>
            <w:r w:rsidDel="00000000" w:rsidR="00000000" w:rsidRPr="00000000">
              <w:rPr>
                <w:rtl w:val="0"/>
              </w:rPr>
              <w:t xml:space="preserve">10 / 10 Villages (100%)</w:t>
            </w:r>
          </w:p>
        </w:tc>
        <w:tc>
          <w:tcPr/>
          <w:p w:rsidR="00000000" w:rsidDel="00000000" w:rsidP="00000000" w:rsidRDefault="00000000" w:rsidRPr="00000000" w14:paraId="0000006C">
            <w:pPr>
              <w:rPr/>
            </w:pPr>
            <w:r w:rsidDel="00000000" w:rsidR="00000000" w:rsidRPr="00000000">
              <w:rPr>
                <w:rtl w:val="0"/>
              </w:rPr>
              <w:t xml:space="preserve">0 / 10 Villages (0.0%)</w:t>
            </w:r>
          </w:p>
        </w:tc>
      </w:tr>
      <w:tr>
        <w:trPr>
          <w:cantSplit w:val="0"/>
          <w:tblHeader w:val="0"/>
        </w:trPr>
        <w:tc>
          <w:tcPr/>
          <w:p w:rsidR="00000000" w:rsidDel="00000000" w:rsidP="00000000" w:rsidRDefault="00000000" w:rsidRPr="00000000" w14:paraId="0000006D">
            <w:pPr>
              <w:rPr/>
            </w:pPr>
            <w:r w:rsidDel="00000000" w:rsidR="00000000" w:rsidRPr="00000000">
              <w:rPr>
                <w:rtl w:val="0"/>
              </w:rPr>
              <w:t xml:space="preserve">Final Cluster Debt Load</w:t>
            </w:r>
          </w:p>
        </w:tc>
        <w:tc>
          <w:tcPr/>
          <w:p w:rsidR="00000000" w:rsidDel="00000000" w:rsidP="00000000" w:rsidRDefault="00000000" w:rsidRPr="00000000" w14:paraId="0000006E">
            <w:pPr>
              <w:rPr/>
            </w:pPr>
            <w:r w:rsidDel="00000000" w:rsidR="00000000" w:rsidRPr="00000000">
              <w:rPr>
                <w:rtl w:val="0"/>
              </w:rPr>
              <w:t xml:space="preserve">$179,488,905 AUD</w:t>
            </w:r>
          </w:p>
        </w:tc>
        <w:tc>
          <w:tcPr/>
          <w:p w:rsidR="00000000" w:rsidDel="00000000" w:rsidP="00000000" w:rsidRDefault="00000000" w:rsidRPr="00000000" w14:paraId="0000006F">
            <w:pPr>
              <w:rPr/>
            </w:pPr>
            <w:r w:rsidDel="00000000" w:rsidR="00000000" w:rsidRPr="00000000">
              <w:rPr>
                <w:rtl w:val="0"/>
              </w:rPr>
              <w:t xml:space="preserve">$147,044,871 AUD (Linear)</w:t>
            </w:r>
          </w:p>
        </w:tc>
      </w:tr>
      <w:tr>
        <w:trPr>
          <w:cantSplit w:val="0"/>
          <w:tblHeader w:val="0"/>
        </w:trPr>
        <w:tc>
          <w:tcPr/>
          <w:p w:rsidR="00000000" w:rsidDel="00000000" w:rsidP="00000000" w:rsidRDefault="00000000" w:rsidRPr="00000000" w14:paraId="00000070">
            <w:pPr>
              <w:rPr/>
            </w:pPr>
            <w:r w:rsidDel="00000000" w:rsidR="00000000" w:rsidRPr="00000000">
              <w:rPr>
                <w:rtl w:val="0"/>
              </w:rPr>
              <w:t xml:space="preserve">Ecological Carrying Capacity Drain</w:t>
            </w:r>
          </w:p>
        </w:tc>
        <w:tc>
          <w:tcPr/>
          <w:p w:rsidR="00000000" w:rsidDel="00000000" w:rsidP="00000000" w:rsidRDefault="00000000" w:rsidRPr="00000000" w14:paraId="00000071">
            <w:pPr>
              <w:rPr/>
            </w:pPr>
            <w:r w:rsidDel="00000000" w:rsidR="00000000" w:rsidRPr="00000000">
              <w:rPr>
                <w:rtl w:val="0"/>
              </w:rPr>
              <w:t xml:space="preserve">-878,696 Units (Degraded)</w:t>
            </w:r>
          </w:p>
        </w:tc>
        <w:tc>
          <w:tcPr/>
          <w:p w:rsidR="00000000" w:rsidDel="00000000" w:rsidP="00000000" w:rsidRDefault="00000000" w:rsidRPr="00000000" w14:paraId="00000072">
            <w:pPr>
              <w:rPr/>
            </w:pPr>
            <w:r w:rsidDel="00000000" w:rsidR="00000000" w:rsidRPr="00000000">
              <w:rPr>
                <w:rtl w:val="0"/>
              </w:rPr>
              <w:t xml:space="preserve">+8,793,349 Units (Regenerated)</w:t>
            </w:r>
          </w:p>
        </w:tc>
      </w:tr>
      <w:tr>
        <w:trPr>
          <w:cantSplit w:val="0"/>
          <w:tblHeader w:val="0"/>
        </w:trPr>
        <w:tc>
          <w:tcPr/>
          <w:p w:rsidR="00000000" w:rsidDel="00000000" w:rsidP="00000000" w:rsidRDefault="00000000" w:rsidRPr="00000000" w14:paraId="00000073">
            <w:pPr>
              <w:rPr/>
            </w:pPr>
            <w:r w:rsidDel="00000000" w:rsidR="00000000" w:rsidRPr="00000000">
              <w:rPr>
                <w:rtl w:val="0"/>
              </w:rPr>
              <w:t xml:space="preserve">Shared Emergency Buffer Reserves</w:t>
            </w:r>
          </w:p>
        </w:tc>
        <w:tc>
          <w:tcPr/>
          <w:p w:rsidR="00000000" w:rsidDel="00000000" w:rsidP="00000000" w:rsidRDefault="00000000" w:rsidRPr="00000000" w14:paraId="00000074">
            <w:pPr>
              <w:rPr/>
            </w:pPr>
            <w:r w:rsidDel="00000000" w:rsidR="00000000" w:rsidRPr="00000000">
              <w:rPr>
                <w:rtl w:val="0"/>
              </w:rPr>
              <w:t xml:space="preserve">$0.00 AUD (Depleted)</w:t>
            </w:r>
          </w:p>
        </w:tc>
        <w:tc>
          <w:tcPr/>
          <w:p w:rsidR="00000000" w:rsidDel="00000000" w:rsidP="00000000" w:rsidRDefault="00000000" w:rsidRPr="00000000" w14:paraId="00000075">
            <w:pPr>
              <w:rPr/>
            </w:pPr>
            <w:r w:rsidDel="00000000" w:rsidR="00000000" w:rsidRPr="00000000">
              <w:rPr>
                <w:rtl w:val="0"/>
              </w:rPr>
              <w:t xml:space="preserve">42,015,061 WEST Tokens</w:t>
            </w:r>
          </w:p>
        </w:tc>
      </w:tr>
      <w:tr>
        <w:trPr>
          <w:cantSplit w:val="0"/>
          <w:tblHeader w:val="0"/>
        </w:trPr>
        <w:tc>
          <w:tcPr/>
          <w:p w:rsidR="00000000" w:rsidDel="00000000" w:rsidP="00000000" w:rsidRDefault="00000000" w:rsidRPr="00000000" w14:paraId="00000076">
            <w:pPr>
              <w:rPr/>
            </w:pPr>
            <w:r w:rsidDel="00000000" w:rsidR="00000000" w:rsidRPr="00000000">
              <w:rPr>
                <w:rtl w:val="0"/>
              </w:rPr>
              <w:t xml:space="preserve">Local Subsistence Price Volatility</w:t>
            </w:r>
          </w:p>
        </w:tc>
        <w:tc>
          <w:tcPr/>
          <w:p w:rsidR="00000000" w:rsidDel="00000000" w:rsidP="00000000" w:rsidRDefault="00000000" w:rsidRPr="00000000" w14:paraId="00000077">
            <w:pPr>
              <w:rPr/>
            </w:pPr>
            <w:r w:rsidDel="00000000" w:rsidR="00000000" w:rsidRPr="00000000">
              <w:rPr>
                <w:rtl w:val="0"/>
              </w:rPr>
              <w:t xml:space="preserve">+48.5% Inflation Spike</w:t>
            </w:r>
          </w:p>
        </w:tc>
        <w:tc>
          <w:tcPr/>
          <w:p w:rsidR="00000000" w:rsidDel="00000000" w:rsidP="00000000" w:rsidRDefault="00000000" w:rsidRPr="00000000" w14:paraId="00000078">
            <w:pPr>
              <w:rPr/>
            </w:pPr>
            <w:r w:rsidDel="00000000" w:rsidR="00000000" w:rsidRPr="00000000">
              <w:rPr>
                <w:rtl w:val="0"/>
              </w:rPr>
              <w:t xml:space="preserve">0.0% Invariant Base (P_H)</w:t>
            </w:r>
          </w:p>
        </w:tc>
      </w:tr>
    </w:tbl>
    <w:p w:rsidR="00000000" w:rsidDel="00000000" w:rsidP="00000000" w:rsidRDefault="00000000" w:rsidRPr="00000000" w14:paraId="00000079">
      <w:pPr>
        <w:pStyle w:val="Heading1"/>
        <w:rPr/>
      </w:pPr>
      <w:bookmarkStart w:colFirst="0" w:colLast="0" w:name="_sqoxhkgi9bmh" w:id="9"/>
      <w:bookmarkEnd w:id="9"/>
      <w:r w:rsidDel="00000000" w:rsidR="00000000" w:rsidRPr="00000000">
        <w:rPr>
          <w:rtl w:val="0"/>
        </w:rPr>
        <w:t xml:space="preserve">5. Key Empirical Findings</w:t>
      </w:r>
    </w:p>
    <w:p w:rsidR="00000000" w:rsidDel="00000000" w:rsidP="00000000" w:rsidRDefault="00000000" w:rsidRPr="00000000" w14:paraId="0000007A">
      <w:pPr>
        <w:numPr>
          <w:ilvl w:val="0"/>
          <w:numId w:val="5"/>
        </w:numPr>
        <w:ind w:left="720" w:hanging="360"/>
      </w:pPr>
      <w:r w:rsidDel="00000000" w:rsidR="00000000" w:rsidRPr="00000000">
        <w:rPr>
          <w:b w:val="1"/>
          <w:bCs w:val="1"/>
          <w:rtl w:val="0"/>
        </w:rPr>
        <w:t xml:space="preserve">Elimination of Bankruptcy Cascades:</w:t>
      </w:r>
      <w:r w:rsidDel="00000000" w:rsidR="00000000" w:rsidRPr="00000000">
        <w:rPr>
          <w:rtl w:val="0"/>
        </w:rPr>
        <w:t xml:space="preserve"> Under Neoclassical debt compounding, when drought hit Nodes 1, 3, and 5, their revenue collapsed while interest obligations doubled. To service bank loans, they were forced to cut maintenance and draw emergency loans, eventually defaulting and dragging downstream logistics and care hubs into liquidity freezes. Under Value Physics, the </w:t>
      </w:r>
      <w:r w:rsidDel="00000000" w:rsidR="00000000" w:rsidRPr="00000000">
        <w:rPr>
          <w:b w:val="1"/>
          <w:bCs w:val="1"/>
          <w:rtl w:val="0"/>
        </w:rPr>
        <w:t xml:space="preserve">Statutory Disaster Pause Covenant</w:t>
      </w:r>
      <w:r w:rsidDel="00000000" w:rsidR="00000000" w:rsidRPr="00000000">
        <w:rPr>
          <w:rtl w:val="0"/>
        </w:rPr>
        <w:t xml:space="preserve"> instantly suspended principal amortization, while Book 2 emergency grain and water buffers maintained continuous community nutrition and clinical operations.</w:t>
      </w:r>
    </w:p>
    <w:p w:rsidR="00000000" w:rsidDel="00000000" w:rsidP="00000000" w:rsidRDefault="00000000" w:rsidRPr="00000000" w14:paraId="0000007B">
      <w:pPr>
        <w:numPr>
          <w:ilvl w:val="0"/>
          <w:numId w:val="5"/>
        </w:numPr>
        <w:ind w:left="720" w:hanging="360"/>
      </w:pPr>
      <w:r w:rsidDel="00000000" w:rsidR="00000000" w:rsidRPr="00000000">
        <w:rPr>
          <w:b w:val="1"/>
          <w:bCs w:val="1"/>
          <w:rtl w:val="0"/>
        </w:rPr>
        <w:t xml:space="preserve">Spatial Trade Stability via $\mathbf{\Xi}_{\text{trade}}$:</w:t>
      </w:r>
      <w:r w:rsidDel="00000000" w:rsidR="00000000" w:rsidRPr="00000000">
        <w:rPr>
          <w:rtl w:val="0"/>
        </w:rPr>
        <w:t xml:space="preserve"> The Inter-Sovereign Trade Tensor prevented predatory terms-of-trade shifts during the drought. Water and grain exported from southern nodes were exchanged at exact physical difficulty parity, preventing panic hoarding.</w:t>
      </w:r>
    </w:p>
    <w:p w:rsidR="00000000" w:rsidDel="00000000" w:rsidP="00000000" w:rsidRDefault="00000000" w:rsidRPr="00000000" w14:paraId="0000007C">
      <w:pPr>
        <w:numPr>
          <w:ilvl w:val="0"/>
          <w:numId w:val="5"/>
        </w:numPr>
        <w:ind w:left="720" w:hanging="360"/>
      </w:pPr>
      <w:r w:rsidDel="00000000" w:rsidR="00000000" w:rsidRPr="00000000">
        <w:rPr>
          <w:b w:val="1"/>
          <w:bCs w:val="1"/>
          <w:rtl w:val="0"/>
        </w:rPr>
        <w:t xml:space="preserve">Preservation of the Physical Substrate:</w:t>
      </w:r>
      <w:r w:rsidDel="00000000" w:rsidR="00000000" w:rsidRPr="00000000">
        <w:rPr>
          <w:rtl w:val="0"/>
        </w:rPr>
        <w:t xml:space="preserve"> Because debt was not compounding exponentially, farmers and microgrid operators did not over-extract soil nutrients or over-cycle battery banks to meet bank deadlines, allowing carrying capacity ($R_n$) to regenerate by $+8.79M$ units over the 3-year cycle.</w:t>
      </w:r>
    </w:p>
    <w:p w:rsidR="00000000" w:rsidDel="00000000" w:rsidP="00000000" w:rsidRDefault="00000000" w:rsidRPr="00000000" w14:paraId="0000007D">
      <w:pPr>
        <w:pStyle w:val="Heading1"/>
        <w:rPr/>
      </w:pPr>
      <w:bookmarkStart w:colFirst="0" w:colLast="0" w:name="_c18gj92xrg0x" w:id="10"/>
      <w:bookmarkEnd w:id="10"/>
      <w:r w:rsidDel="00000000" w:rsidR="00000000" w:rsidRPr="00000000">
        <w:rPr>
          <w:rtl w:val="0"/>
        </w:rPr>
        <w:t xml:space="preserve">6. Conclusion &amp; Recommendations for Municipal Adoption</w:t>
      </w:r>
    </w:p>
    <w:p w:rsidR="00000000" w:rsidDel="00000000" w:rsidP="00000000" w:rsidRDefault="00000000" w:rsidRPr="00000000" w14:paraId="0000007E">
      <w:pPr>
        <w:rPr/>
      </w:pPr>
      <w:r w:rsidDel="00000000" w:rsidR="00000000" w:rsidRPr="00000000">
        <w:rPr>
          <w:rtl w:val="0"/>
        </w:rPr>
        <w:t xml:space="preserve">The 10-Node Regional Network Simulation provides definitive empirical proof that regional resilience is achievable when economic clearing is anchored to physical thermodynamic difficulty and non-usurious mutual credit.</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We recommend that regional municipal councils (such as the Warrumbungle Shire, Gilgandra Shire, and Dubbo Regional Council) form a </w:t>
      </w:r>
      <w:r w:rsidDel="00000000" w:rsidR="00000000" w:rsidRPr="00000000">
        <w:rPr>
          <w:b w:val="1"/>
          <w:bCs w:val="1"/>
          <w:rtl w:val="0"/>
        </w:rPr>
        <w:t xml:space="preserve">Regional Mutual Clearing Compact</w:t>
      </w:r>
      <w:r w:rsidDel="00000000" w:rsidR="00000000" w:rsidRPr="00000000">
        <w:rPr>
          <w:rtl w:val="0"/>
        </w:rPr>
        <w:t xml:space="preserve"> under the Australian </w:t>
      </w:r>
      <w:r w:rsidDel="00000000" w:rsidR="00000000" w:rsidRPr="00000000">
        <w:rPr>
          <w:i w:val="1"/>
          <w:iCs w:val="1"/>
          <w:rtl w:val="0"/>
        </w:rPr>
        <w:t xml:space="preserve">Corporations Act 2001</w:t>
      </w:r>
      <w:r w:rsidDel="00000000" w:rsidR="00000000" w:rsidRPr="00000000">
        <w:rPr>
          <w:rtl w:val="0"/>
        </w:rPr>
        <w:t xml:space="preserve"> to operationalize Theorem 5 and the Tri-Fold Ledger across local government procurement and agricultural supply chains.</w:t>
      </w:r>
    </w:p>
    <w:p w:rsidR="00000000" w:rsidDel="00000000" w:rsidP="00000000" w:rsidRDefault="00000000" w:rsidRPr="00000000" w14:paraId="00000081">
      <w:pPr>
        <w:pStyle w:val="Heading1"/>
        <w:rPr/>
      </w:pPr>
      <w:bookmarkStart w:colFirst="0" w:colLast="0" w:name="_kt2e24c32x72" w:id="11"/>
      <w:bookmarkEnd w:id="11"/>
      <w:r w:rsidDel="00000000" w:rsidR="00000000" w:rsidRPr="00000000">
        <w:rPr>
          <w:rtl w:val="0"/>
        </w:rPr>
        <w:t xml:space="preserve">References</w:t>
      </w:r>
    </w:p>
    <w:p w:rsidR="00000000" w:rsidDel="00000000" w:rsidP="00000000" w:rsidRDefault="00000000" w:rsidRPr="00000000" w14:paraId="00000082">
      <w:pPr>
        <w:numPr>
          <w:ilvl w:val="0"/>
          <w:numId w:val="1"/>
        </w:numPr>
        <w:ind w:left="720" w:hanging="360"/>
      </w:pPr>
      <w:r w:rsidDel="00000000" w:rsidR="00000000" w:rsidRPr="00000000">
        <w:rPr>
          <w:rtl w:val="0"/>
        </w:rPr>
        <w:t xml:space="preserve">Godley, W., &amp; Lavoie, M. (2007). </w:t>
      </w:r>
      <w:r w:rsidDel="00000000" w:rsidR="00000000" w:rsidRPr="00000000">
        <w:rPr>
          <w:i w:val="1"/>
          <w:iCs w:val="1"/>
          <w:rtl w:val="0"/>
        </w:rPr>
        <w:t xml:space="preserve">Monetary Economics: An Integrated Approach to Credit, Money, Income, Production and Wealth</w:t>
      </w:r>
      <w:r w:rsidDel="00000000" w:rsidR="00000000" w:rsidRPr="00000000">
        <w:rPr>
          <w:rtl w:val="0"/>
        </w:rPr>
        <w:t xml:space="preserve">. Palgrave Macmillan.</w:t>
      </w:r>
    </w:p>
    <w:p w:rsidR="00000000" w:rsidDel="00000000" w:rsidP="00000000" w:rsidRDefault="00000000" w:rsidRPr="00000000" w14:paraId="00000083">
      <w:pPr>
        <w:numPr>
          <w:ilvl w:val="0"/>
          <w:numId w:val="1"/>
        </w:numPr>
        <w:ind w:left="720" w:hanging="360"/>
      </w:pPr>
      <w:r w:rsidDel="00000000" w:rsidR="00000000" w:rsidRPr="00000000">
        <w:rPr>
          <w:rtl w:val="0"/>
        </w:rPr>
        <w:t xml:space="preserve">Leontief, W. (1986). </w:t>
      </w:r>
      <w:r w:rsidDel="00000000" w:rsidR="00000000" w:rsidRPr="00000000">
        <w:rPr>
          <w:i w:val="1"/>
          <w:iCs w:val="1"/>
          <w:rtl w:val="0"/>
        </w:rPr>
        <w:t xml:space="preserve">Input-Output Economics</w:t>
      </w:r>
      <w:r w:rsidDel="00000000" w:rsidR="00000000" w:rsidRPr="00000000">
        <w:rPr>
          <w:rtl w:val="0"/>
        </w:rPr>
        <w:t xml:space="preserve">. Oxford University Press.</w:t>
      </w:r>
    </w:p>
    <w:p w:rsidR="00000000" w:rsidDel="00000000" w:rsidP="00000000" w:rsidRDefault="00000000" w:rsidRPr="00000000" w14:paraId="00000084">
      <w:pPr>
        <w:numPr>
          <w:ilvl w:val="0"/>
          <w:numId w:val="1"/>
        </w:numPr>
        <w:ind w:left="720" w:hanging="360"/>
      </w:pPr>
      <w:r w:rsidDel="00000000" w:rsidR="00000000" w:rsidRPr="00000000">
        <w:rPr>
          <w:rtl w:val="0"/>
        </w:rPr>
        <w:t xml:space="preserve">Odum, H. T. (1996). </w:t>
      </w:r>
      <w:r w:rsidDel="00000000" w:rsidR="00000000" w:rsidRPr="00000000">
        <w:rPr>
          <w:i w:val="1"/>
          <w:iCs w:val="1"/>
          <w:rtl w:val="0"/>
        </w:rPr>
        <w:t xml:space="preserve">Environmental Accounting: Emergy and Environmental Decision Making</w:t>
      </w:r>
      <w:r w:rsidDel="00000000" w:rsidR="00000000" w:rsidRPr="00000000">
        <w:rPr>
          <w:rtl w:val="0"/>
        </w:rPr>
        <w:t xml:space="preserve">. John Wiley &amp; Sons.</w:t>
      </w:r>
    </w:p>
    <w:p w:rsidR="00000000" w:rsidDel="00000000" w:rsidP="00000000" w:rsidRDefault="00000000" w:rsidRPr="00000000" w14:paraId="00000085">
      <w:pPr>
        <w:numPr>
          <w:ilvl w:val="0"/>
          <w:numId w:val="1"/>
        </w:numPr>
        <w:ind w:left="720" w:hanging="360"/>
      </w:pPr>
      <w:r w:rsidDel="00000000" w:rsidR="00000000" w:rsidRPr="00000000">
        <w:rPr>
          <w:rtl w:val="0"/>
        </w:rPr>
        <w:t xml:space="preserve">Stodder, J. (2009). Complementary Credit Networks and Macroeconomic Stability: Switzerland's Wirtschaftsring. </w:t>
      </w:r>
      <w:r w:rsidDel="00000000" w:rsidR="00000000" w:rsidRPr="00000000">
        <w:rPr>
          <w:i w:val="1"/>
          <w:iCs w:val="1"/>
          <w:rtl w:val="0"/>
        </w:rPr>
        <w:t xml:space="preserve">Journal of Economic Behavior &amp; Organization</w:t>
      </w:r>
      <w:r w:rsidDel="00000000" w:rsidR="00000000" w:rsidRPr="00000000">
        <w:rPr>
          <w:rtl w:val="0"/>
        </w:rPr>
        <w:t xml:space="preserve">, 72(1), 79–95.</w:t>
      </w:r>
    </w:p>
    <w:p w:rsidR="00000000" w:rsidDel="00000000" w:rsidP="00000000" w:rsidRDefault="00000000" w:rsidRPr="00000000" w14:paraId="00000086">
      <w:pPr>
        <w:numPr>
          <w:ilvl w:val="0"/>
          <w:numId w:val="1"/>
        </w:numPr>
        <w:ind w:left="720" w:hanging="360"/>
      </w:pPr>
      <w:r w:rsidDel="00000000" w:rsidR="00000000" w:rsidRPr="00000000">
        <w:rPr>
          <w:rtl w:val="0"/>
        </w:rPr>
        <w:t xml:space="preserve">Tsatsaronis, G. (1993). Thermoeconomic Analysis and Optimization of Energy Systems. </w:t>
      </w:r>
      <w:r w:rsidDel="00000000" w:rsidR="00000000" w:rsidRPr="00000000">
        <w:rPr>
          <w:i w:val="1"/>
          <w:iCs w:val="1"/>
          <w:rtl w:val="0"/>
        </w:rPr>
        <w:t xml:space="preserve">Progress in Energy and Combustion Science</w:t>
      </w:r>
      <w:r w:rsidDel="00000000" w:rsidR="00000000" w:rsidRPr="00000000">
        <w:rPr>
          <w:rtl w:val="0"/>
        </w:rPr>
        <w:t xml:space="preserve">, 19(3), 227–257.</w:t>
      </w:r>
    </w:p>
    <w:p w:rsidR="00000000" w:rsidDel="00000000" w:rsidP="00000000" w:rsidRDefault="00000000" w:rsidRPr="00000000" w14:paraId="0000008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rimson Pr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33333"/>
        <w:sz w:val="24"/>
        <w:szCs w:val="24"/>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76" w:lineRule="auto"/>
    </w:pPr>
    <w:rPr>
      <w:rFonts w:ascii="Crimson Pro" w:cs="Crimson Pro" w:eastAsia="Crimson Pro" w:hAnsi="Crimson Pro"/>
      <w:b w:val="1"/>
      <w:bCs w:val="1"/>
      <w:i w:val="0"/>
      <w:iCs w:val="0"/>
      <w:color w:val="1a202c"/>
      <w:sz w:val="35.4"/>
      <w:szCs w:val="35.4"/>
    </w:rPr>
  </w:style>
  <w:style w:type="paragraph" w:styleId="Heading2">
    <w:name w:val="heading 2"/>
    <w:basedOn w:val="Normal"/>
    <w:next w:val="Normal"/>
    <w:pPr>
      <w:keepNext w:val="1"/>
      <w:keepLines w:val="1"/>
      <w:pageBreakBefore w:val="0"/>
      <w:spacing w:after="80" w:before="360" w:line="276" w:lineRule="auto"/>
    </w:pPr>
    <w:rPr>
      <w:rFonts w:ascii="Crimson Pro" w:cs="Crimson Pro" w:eastAsia="Crimson Pro" w:hAnsi="Crimson Pro"/>
      <w:b w:val="1"/>
      <w:bCs w:val="1"/>
      <w:i w:val="0"/>
      <w:iCs w:val="0"/>
      <w:color w:val="2d3748"/>
      <w:sz w:val="33.2"/>
      <w:szCs w:val="33.2"/>
    </w:rPr>
  </w:style>
  <w:style w:type="paragraph" w:styleId="Heading3">
    <w:name w:val="heading 3"/>
    <w:basedOn w:val="Normal"/>
    <w:next w:val="Normal"/>
    <w:pPr>
      <w:keepNext w:val="1"/>
      <w:keepLines w:val="1"/>
      <w:pageBreakBefore w:val="0"/>
      <w:spacing w:after="80" w:before="280" w:line="276" w:lineRule="auto"/>
    </w:pPr>
    <w:rPr>
      <w:rFonts w:ascii="Crimson Pro" w:cs="Crimson Pro" w:eastAsia="Crimson Pro" w:hAnsi="Crimson Pro"/>
      <w:b w:val="1"/>
      <w:bCs w:val="1"/>
      <w:i w:val="0"/>
      <w:iCs w:val="0"/>
      <w:color w:val="2d3748"/>
      <w:sz w:val="31.2"/>
      <w:szCs w:val="31.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Crimson Pro" w:cs="Crimson Pro" w:eastAsia="Crimson Pro" w:hAnsi="Crimson Pro"/>
      <w:b w:val="1"/>
      <w:bCs w:val="1"/>
      <w:i w:val="0"/>
      <w:iCs w:val="0"/>
      <w:color w:val="1a202c"/>
      <w:sz w:val="37.8"/>
      <w:szCs w:val="37.8"/>
    </w:rPr>
  </w:style>
  <w:style w:type="paragraph" w:styleId="Subtitle">
    <w:name w:val="Subtitle"/>
    <w:basedOn w:val="Normal"/>
    <w:next w:val="Normal"/>
    <w:pPr>
      <w:keepNext w:val="1"/>
      <w:keepLines w:val="1"/>
      <w:pageBreakBefore w:val="0"/>
      <w:spacing w:after="80" w:before="360" w:line="300" w:lineRule="auto"/>
    </w:pPr>
    <w:rPr>
      <w:rFonts w:ascii="Roboto" w:cs="Roboto" w:eastAsia="Roboto" w:hAnsi="Roboto"/>
      <w:b w:val="0"/>
      <w:bCs w:val="0"/>
      <w:i w:val="1"/>
      <w:iCs w:val="1"/>
      <w:color w:val="4a5568"/>
      <w:sz w:val="26"/>
      <w:szCs w:val="26"/>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Roboto" w:cs="Roboto" w:eastAsia="Roboto" w:hAnsi="Roboto"/>
        <w:b w:val="1"/>
        <w:bCs w:val="1"/>
        <w:i w:val="0"/>
        <w:iCs w:val="0"/>
        <w:color w:val="2d3748"/>
        <w:sz w:val="22"/>
        <w:szCs w:val="22"/>
      </w:rPr>
      <w:tcPr>
        <w:shd w:fill="f7fafc" w:val="clear"/>
        <w:vAlign w:val="center"/>
      </w:tcPr>
    </w:tblStylePr>
  </w:style>
  <w:style w:type="table" w:styleId="Table2">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Roboto" w:cs="Roboto" w:eastAsia="Roboto" w:hAnsi="Roboto"/>
        <w:b w:val="1"/>
        <w:bCs w:val="1"/>
        <w:i w:val="0"/>
        <w:iCs w:val="0"/>
        <w:color w:val="2d3748"/>
        <w:sz w:val="22"/>
        <w:szCs w:val="22"/>
      </w:rPr>
      <w:tcPr>
        <w:shd w:fill="f7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CrimsonPro-regular.ttf"/><Relationship Id="rId6" Type="http://schemas.openxmlformats.org/officeDocument/2006/relationships/font" Target="fonts/CrimsonPro-bold.ttf"/><Relationship Id="rId7" Type="http://schemas.openxmlformats.org/officeDocument/2006/relationships/font" Target="fonts/CrimsonPro-italic.ttf"/><Relationship Id="rId8" Type="http://schemas.openxmlformats.org/officeDocument/2006/relationships/font" Target="fonts/Crimson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