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REFERÊNCIAS BIBLIOGRÁFICAS</w:t>
      </w:r>
    </w:p>
    <w:p>
      <w:pPr>
        <w:pStyle w:val="BodyText"/>
      </w:pPr>
      <w:r>
        <w:t xml:space="preserve">Este documento compila as referências técnicas utilizadas como base para o desenvolvimento do portal</w:t>
      </w:r>
      <w:r>
        <w:t xml:space="preserve"> </w:t>
      </w:r>
      <w:r>
        <w:t xml:space="preserve">“</w:t>
      </w:r>
      <w:r>
        <w:t xml:space="preserve">Casos da Impacta</w:t>
      </w:r>
      <w:r>
        <w:t xml:space="preserve">”</w:t>
      </w:r>
      <w:r>
        <w:t xml:space="preserve"> </w:t>
      </w:r>
      <w:r>
        <w:t xml:space="preserve">e para a compreensão das vulnerabilidades e mecanismos de proteção abordados.</w:t>
      </w:r>
    </w:p>
    <w:p>
      <w:pPr>
        <w:pStyle w:val="BodyText"/>
      </w:pPr>
      <w:r>
        <w:rPr>
          <w:b/>
        </w:rPr>
        <w:t xml:space="preserve">Vulnerabilidades Web (OWASP - Open Web Application Security Project)</w:t>
      </w:r>
    </w:p>
    <w:p>
      <w:pPr>
        <w:numPr>
          <w:ilvl w:val="0"/>
          <w:numId w:val="1001"/>
        </w:numPr>
        <w:pStyle w:val="Compact"/>
      </w:pPr>
      <w:r>
        <w:t xml:space="preserve">OWASP.</w:t>
      </w:r>
      <w:r>
        <w:t xml:space="preserve"> </w:t>
      </w:r>
      <w:r>
        <w:rPr>
          <w:b/>
        </w:rPr>
        <w:t xml:space="preserve">SQL Injection Prevention Cheat Sheet</w:t>
      </w:r>
      <w:r>
        <w:t xml:space="preserve">. OWASP Cheat Sheet Series. Disponível em: https://cheatsheetseries.owasp.org/cheatsheets/SQL_Injection_Prevention_Cheat_Sheet.html. Acesso em: 29 abr. 2025.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Descrição</w:t>
      </w:r>
      <w:r>
        <w:t xml:space="preserve">: Documentação fundamental sobre os riscos de SQL Injection e as principais estratégias de prevenção, como o uso de Prepared Statements e validação de entrada, que foram intencionalmente ignoradas em partes do código para fins de demonstração.</w:t>
      </w:r>
    </w:p>
    <w:p>
      <w:pPr>
        <w:numPr>
          <w:ilvl w:val="0"/>
          <w:numId w:val="1001"/>
        </w:numPr>
        <w:pStyle w:val="Compact"/>
      </w:pPr>
      <w:r>
        <w:t xml:space="preserve">OWASP.</w:t>
      </w:r>
      <w:r>
        <w:t xml:space="preserve"> </w:t>
      </w:r>
      <w:r>
        <w:rPr>
          <w:b/>
        </w:rPr>
        <w:t xml:space="preserve">Cross Site Scripting Prevention Cheat Sheet</w:t>
      </w:r>
      <w:r>
        <w:t xml:space="preserve">. OWASP Cheat Sheet Series. Disponível em: https://cheatsheetseries.owasp.org/cheatsheets/Cross_Site_Scripting_Prevention_Cheat_Sheet.html. Acesso em: 29 abr. 2025.</w:t>
      </w:r>
    </w:p>
    <w:p>
      <w:pPr>
        <w:numPr>
          <w:ilvl w:val="1"/>
          <w:numId w:val="1003"/>
        </w:numPr>
        <w:pStyle w:val="Compact"/>
      </w:pPr>
      <w:r>
        <w:rPr>
          <w:i/>
        </w:rPr>
        <w:t xml:space="preserve">Descrição</w:t>
      </w:r>
      <w:r>
        <w:t xml:space="preserve">: Guia essencial sobre os diferentes tipos de ataques XSS (Reflected, Stored, DOM-based) e as técnicas de mitigação, como codificação de saída (output encoding) e validação de entrada, que foram deliberadamente omitidas na seção de comentários para demonstrar a vulnerabilidade.</w:t>
      </w:r>
    </w:p>
    <w:p>
      <w:pPr>
        <w:numPr>
          <w:ilvl w:val="0"/>
          <w:numId w:val="1001"/>
        </w:numPr>
        <w:pStyle w:val="Compact"/>
      </w:pPr>
      <w:r>
        <w:t xml:space="preserve">OWASP.</w:t>
      </w:r>
      <w:r>
        <w:t xml:space="preserve"> </w:t>
      </w:r>
      <w:r>
        <w:rPr>
          <w:b/>
        </w:rPr>
        <w:t xml:space="preserve">Cross-Site Request Forgery Prevention Cheat Sheet</w:t>
      </w:r>
      <w:r>
        <w:t xml:space="preserve">. OWASP Cheat Sheet Series. Disponível em: https://cheatsheetseries.owasp.org/cheatsheets/Cross-Site_Request_Forgery_Prevention_Cheat_Sheet.html. Acesso em: 29 abr. 2025.</w:t>
      </w:r>
    </w:p>
    <w:p>
      <w:pPr>
        <w:numPr>
          <w:ilvl w:val="1"/>
          <w:numId w:val="1004"/>
        </w:numPr>
        <w:pStyle w:val="Compact"/>
      </w:pPr>
      <w:r>
        <w:rPr>
          <w:i/>
        </w:rPr>
        <w:t xml:space="preserve">Descrição</w:t>
      </w:r>
      <w:r>
        <w:t xml:space="preserve">: Detalha os mecanismos de ataque CSRF e as defesas recomendadas, principalmente o uso de tokens anti-CSRF (Synchronizer Token Pattern), cuja ausência no formulário administrativo simulado permite a exploração da vulnerabilidade.</w:t>
      </w:r>
    </w:p>
    <w:p>
      <w:pPr>
        <w:pStyle w:val="FirstParagraph"/>
      </w:pPr>
      <w:r>
        <w:rPr>
          <w:b/>
        </w:rPr>
        <w:t xml:space="preserve">Web Application Firewalls (WAF)</w:t>
      </w:r>
    </w:p>
    <w:p>
      <w:pPr>
        <w:numPr>
          <w:ilvl w:val="0"/>
          <w:numId w:val="1005"/>
        </w:numPr>
        <w:pStyle w:val="Compact"/>
      </w:pPr>
      <w:r>
        <w:t xml:space="preserve">FORTINET.</w:t>
      </w:r>
      <w:r>
        <w:t xml:space="preserve"> </w:t>
      </w:r>
      <w:r>
        <w:rPr>
          <w:b/>
        </w:rPr>
        <w:t xml:space="preserve">FortiWeb - Web Application Firewall (WAF) &amp; API Protection</w:t>
      </w:r>
      <w:r>
        <w:t xml:space="preserve">. Fortinet Products. Disponível em: https://www.fortinet.com/products/web-application-firewall/fortiweb. Acesso em: 29 abr. 2025.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Descrição</w:t>
      </w:r>
      <w:r>
        <w:t xml:space="preserve">: Visão geral do produto FortiWeb WAF da Fortinet, utilizado como referência conceitual sobre as funcionalidades e capacidades gerais de um WAF comercial.</w:t>
      </w:r>
    </w:p>
    <w:p>
      <w:pPr>
        <w:numPr>
          <w:ilvl w:val="0"/>
          <w:numId w:val="1005"/>
        </w:numPr>
        <w:pStyle w:val="Compact"/>
      </w:pPr>
      <w:r>
        <w:t xml:space="preserve">FORTINET.</w:t>
      </w:r>
      <w:r>
        <w:t xml:space="preserve"> </w:t>
      </w:r>
      <w:r>
        <w:rPr>
          <w:b/>
        </w:rPr>
        <w:t xml:space="preserve">FortiWeb Documentation</w:t>
      </w:r>
      <w:r>
        <w:t xml:space="preserve">. Fortinet Document Library. Disponível em: https://docs.fortinet.com/product/fortiweb. Acesso em: 29 abr. 2025.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Descrição</w:t>
      </w:r>
      <w:r>
        <w:t xml:space="preserve">: Documentação técnica detalhada do FortiWeb, consultada para entender aspectos específicos de configuração e operação de WAFs.</w:t>
      </w:r>
    </w:p>
    <w:p>
      <w:pPr>
        <w:numPr>
          <w:ilvl w:val="0"/>
          <w:numId w:val="1005"/>
        </w:numPr>
        <w:pStyle w:val="Compact"/>
      </w:pPr>
      <w:r>
        <w:t xml:space="preserve">MICROSOFT AZURE.</w:t>
      </w:r>
      <w:r>
        <w:t xml:space="preserve"> </w:t>
      </w:r>
      <w:r>
        <w:rPr>
          <w:b/>
        </w:rPr>
        <w:t xml:space="preserve">Azure Web Application Firewall (WAF)</w:t>
      </w:r>
      <w:r>
        <w:t xml:space="preserve">. Azure Products. Disponível em: https://azure.microsoft.com/en-us/products/web-application-firewall. Acesso em: 29 abr. 2025.</w:t>
      </w:r>
    </w:p>
    <w:p>
      <w:pPr>
        <w:numPr>
          <w:ilvl w:val="1"/>
          <w:numId w:val="1008"/>
        </w:numPr>
        <w:pStyle w:val="Compact"/>
      </w:pPr>
      <w:r>
        <w:rPr>
          <w:i/>
        </w:rPr>
        <w:t xml:space="preserve">Descrição</w:t>
      </w:r>
      <w:r>
        <w:t xml:space="preserve">: Página oficial do produto Azure WAF, descrevendo suas funcionalidades, benefícios e integração com outros serviços Azure, como Application Gateway e Front Door. Essencial para o contexto do projeto.</w:t>
      </w:r>
    </w:p>
    <w:p>
      <w:pPr>
        <w:numPr>
          <w:ilvl w:val="0"/>
          <w:numId w:val="1005"/>
        </w:numPr>
        <w:pStyle w:val="Compact"/>
      </w:pPr>
      <w:r>
        <w:t xml:space="preserve">MICROSOFT LEARN.</w:t>
      </w:r>
      <w:r>
        <w:t xml:space="preserve"> </w:t>
      </w:r>
      <w:r>
        <w:rPr>
          <w:b/>
        </w:rPr>
        <w:t xml:space="preserve">Web Application Firewall documentation</w:t>
      </w:r>
      <w:r>
        <w:t xml:space="preserve">. Azure Documentation. Disponível em: https://learn.microsoft.com/en-us/azure/web-application-firewall/. Acesso em: 29 abr. 2025.</w:t>
      </w:r>
    </w:p>
    <w:p>
      <w:pPr>
        <w:numPr>
          <w:ilvl w:val="1"/>
          <w:numId w:val="1009"/>
        </w:numPr>
        <w:pStyle w:val="Compact"/>
      </w:pPr>
      <w:r>
        <w:rPr>
          <w:i/>
        </w:rPr>
        <w:t xml:space="preserve">Descrição</w:t>
      </w:r>
      <w:r>
        <w:t xml:space="preserve">: Portal central da documentação do Azure WAF, contendo guias de introdução, configuração, gerenciamento de regras (OWASP Core Rule Set - CRS), políticas e solução de problemas. Fonte primária para o manual de instalação e configuração.</w:t>
      </w:r>
    </w:p>
    <w:p>
      <w:pPr>
        <w:numPr>
          <w:ilvl w:val="0"/>
          <w:numId w:val="1005"/>
        </w:numPr>
        <w:pStyle w:val="Compact"/>
      </w:pPr>
      <w:r>
        <w:t xml:space="preserve">MICROSOFT LEARN.</w:t>
      </w:r>
      <w:r>
        <w:t xml:space="preserve"> </w:t>
      </w:r>
      <w:r>
        <w:rPr>
          <w:b/>
        </w:rPr>
        <w:t xml:space="preserve">Introduction to Azure Web Application Firewall</w:t>
      </w:r>
      <w:r>
        <w:t xml:space="preserve">. Azure Documentation. Disponível em: https://learn.microsoft.com/en-us/azure/web-application-firewall/overview. Acesso em: 29 abr. 2025.</w:t>
      </w:r>
    </w:p>
    <w:p>
      <w:pPr>
        <w:numPr>
          <w:ilvl w:val="1"/>
          <w:numId w:val="1010"/>
        </w:numPr>
        <w:pStyle w:val="Compact"/>
      </w:pPr>
      <w:r>
        <w:rPr>
          <w:i/>
        </w:rPr>
        <w:t xml:space="preserve">Descrição</w:t>
      </w:r>
      <w:r>
        <w:t xml:space="preserve">: Documento introdutório que explica os conceitos básicos do Azure WAF, como ele protege aplicações web contra explorações e vulnerabilidades comuns, e os serviços com os quais pode ser implantado.</w:t>
      </w:r>
    </w:p>
    <w:p>
      <w:pPr>
        <w:pStyle w:val="FirstParagraph"/>
      </w:pPr>
      <w:r>
        <w:rPr>
          <w:b/>
        </w:rPr>
        <w:t xml:space="preserve">Observação</w:t>
      </w:r>
      <w:r>
        <w:t xml:space="preserve">: O formato ABNT pode variar ligeiramente. Esta formatação busca seguir os padrões comuns para referências de recursos online.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2025-04-29T09:47:35Z</dcterms:created>
  <dcterms:modified xsi:type="dcterms:W3CDTF">2025-04-29T09:47:35Z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