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official ONI/RONI table /home/user/procafe/timeseries/data/oni.csv.</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-0.2 % (4 campagnes, 50 % sous la moyenne). La Niña : -0.8 % (11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(-1.1)</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(-1.0)</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Variation annuelle moyenne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474"/>
          </w:tcPr>
          <w:p>
            <w:r/>
            <w:r>
              <w:rPr>
                <w:b/>
                <w:sz w:val="15"/>
              </w:rPr>
              <w:t>Rendement : variation annuelle moyenne</w:t>
            </w:r>
          </w:p>
        </w:tc>
        <w:tc>
          <w:tcPr>
            <w:tcW w:type="dxa" w:w="1361"/>
          </w:tcPr>
          <w:p>
            <w:r/>
            <w:r>
              <w:rPr>
                <w:b/>
                <w:sz w:val="15"/>
              </w:rPr>
              <w:t>Rendement : écart aux voisines</w:t>
            </w:r>
          </w:p>
        </w:tc>
        <w:tc>
          <w:tcPr>
            <w:tcW w:type="dxa" w:w="1474"/>
          </w:tcPr>
          <w:p>
            <w:r/>
            <w:r>
              <w:rPr>
                <w:b/>
                <w:sz w:val="15"/>
              </w:rPr>
              <w:t>Production : variation annuelle moyenne</w:t>
            </w:r>
          </w:p>
        </w:tc>
        <w:tc>
          <w:tcPr>
            <w:tcW w:type="dxa" w:w="2948"/>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474"/>
          </w:tcPr>
          <w:p>
            <w:r/>
            <w:r>
              <w:rPr>
                <w:sz w:val="15"/>
              </w:rPr>
              <w:t>-12.4 %</w:t>
            </w:r>
          </w:p>
        </w:tc>
        <w:tc>
          <w:tcPr>
            <w:tcW w:type="dxa" w:w="1361"/>
          </w:tcPr>
          <w:p>
            <w:r/>
            <w:r>
              <w:rPr>
                <w:sz w:val="15"/>
              </w:rPr>
              <w:t>-2.7 %</w:t>
            </w:r>
          </w:p>
        </w:tc>
        <w:tc>
          <w:tcPr>
            <w:tcW w:type="dxa" w:w="1474"/>
          </w:tcPr>
          <w:p>
            <w:r/>
            <w:r>
              <w:rPr>
                <w:sz w:val="15"/>
              </w:rPr>
              <w:t>-12.4 %</w:t>
            </w:r>
          </w:p>
        </w:tc>
        <w:tc>
          <w:tcPr>
            <w:tcW w:type="dxa" w:w="2948"/>
          </w:tcPr>
          <w:p>
            <w:r/>
            <w:r>
              <w:rPr>
                <w:sz w:val="15"/>
              </w:rPr>
              <w:t>2016/17</w:t>
            </w:r>
          </w:p>
        </w:tc>
      </w:tr>
      <w:tr>
        <w:tc>
          <w:tcPr>
            <w:tcW w:type="dxa" w:w="1814"/>
          </w:tcPr>
          <w:p>
            <w:r/>
            <w:r>
              <w:rPr>
                <w:sz w:val="15"/>
              </w:rPr>
              <w:t>El Niño (0,5 à 1,6)</w:t>
            </w:r>
          </w:p>
        </w:tc>
        <w:tc>
          <w:tcPr>
            <w:tcW w:type="dxa" w:w="567"/>
          </w:tcPr>
          <w:p>
            <w:r/>
            <w:r>
              <w:rPr>
                <w:sz w:val="15"/>
              </w:rPr>
              <w:t>6</w:t>
            </w:r>
          </w:p>
        </w:tc>
        <w:tc>
          <w:tcPr>
            <w:tcW w:type="dxa" w:w="1474"/>
          </w:tcPr>
          <w:p>
            <w:r/>
            <w:r>
              <w:rPr>
                <w:sz w:val="15"/>
              </w:rPr>
              <w:t>+10.6 %</w:t>
            </w:r>
          </w:p>
        </w:tc>
        <w:tc>
          <w:tcPr>
            <w:tcW w:type="dxa" w:w="1361"/>
          </w:tcPr>
          <w:p>
            <w:r/>
            <w:r>
              <w:rPr>
                <w:sz w:val="15"/>
              </w:rPr>
              <w:t>+3.5 %</w:t>
            </w:r>
          </w:p>
        </w:tc>
        <w:tc>
          <w:tcPr>
            <w:tcW w:type="dxa" w:w="1474"/>
          </w:tcPr>
          <w:p>
            <w:r/>
            <w:r>
              <w:rPr>
                <w:sz w:val="15"/>
              </w:rPr>
              <w:t>+8.8 %</w:t>
            </w:r>
          </w:p>
        </w:tc>
        <w:tc>
          <w:tcPr>
            <w:tcW w:type="dxa" w:w="2948"/>
          </w:tcPr>
          <w:p>
            <w:r/>
            <w:r>
              <w:rPr>
                <w:sz w:val="15"/>
              </w:rPr>
              <w:t>2005/06 2007/08 2010/11 2015/16 2019/20 2024/25</w:t>
            </w:r>
          </w:p>
        </w:tc>
      </w:tr>
      <w:tr>
        <w:tc>
          <w:tcPr>
            <w:tcW w:type="dxa" w:w="1814"/>
          </w:tcPr>
          <w:p>
            <w:r/>
            <w:r>
              <w:rPr>
                <w:sz w:val="15"/>
              </w:rPr>
              <w:t>neutre</w:t>
            </w:r>
          </w:p>
        </w:tc>
        <w:tc>
          <w:tcPr>
            <w:tcW w:type="dxa" w:w="567"/>
          </w:tcPr>
          <w:p>
            <w:r/>
            <w:r>
              <w:rPr>
                <w:sz w:val="15"/>
              </w:rPr>
              <w:t>2</w:t>
            </w:r>
          </w:p>
        </w:tc>
        <w:tc>
          <w:tcPr>
            <w:tcW w:type="dxa" w:w="1474"/>
          </w:tcPr>
          <w:p>
            <w:r/>
            <w:r>
              <w:rPr>
                <w:sz w:val="15"/>
              </w:rPr>
              <w:t>-6.8 %</w:t>
            </w:r>
          </w:p>
        </w:tc>
        <w:tc>
          <w:tcPr>
            <w:tcW w:type="dxa" w:w="1361"/>
          </w:tcPr>
          <w:p>
            <w:r/>
            <w:r>
              <w:rPr>
                <w:sz w:val="15"/>
              </w:rPr>
              <w:t>-0.2 %</w:t>
            </w:r>
          </w:p>
        </w:tc>
        <w:tc>
          <w:tcPr>
            <w:tcW w:type="dxa" w:w="1474"/>
          </w:tcPr>
          <w:p>
            <w:r/>
            <w:r>
              <w:rPr>
                <w:sz w:val="15"/>
              </w:rPr>
              <w:t>-6.0 %</w:t>
            </w:r>
          </w:p>
        </w:tc>
        <w:tc>
          <w:tcPr>
            <w:tcW w:type="dxa" w:w="2948"/>
          </w:tcPr>
          <w:p>
            <w:r/>
            <w:r>
              <w:rPr>
                <w:sz w:val="15"/>
              </w:rPr>
              <w:t>2013/14 2014/15</w:t>
            </w:r>
          </w:p>
        </w:tc>
      </w:tr>
      <w:tr>
        <w:tc>
          <w:tcPr>
            <w:tcW w:type="dxa" w:w="1814"/>
          </w:tcPr>
          <w:p>
            <w:r/>
            <w:r>
              <w:rPr>
                <w:sz w:val="15"/>
              </w:rPr>
              <w:t>La Niña</w:t>
            </w:r>
          </w:p>
        </w:tc>
        <w:tc>
          <w:tcPr>
            <w:tcW w:type="dxa" w:w="567"/>
          </w:tcPr>
          <w:p>
            <w:r/>
            <w:r>
              <w:rPr>
                <w:sz w:val="15"/>
              </w:rPr>
              <w:t>9</w:t>
            </w:r>
          </w:p>
        </w:tc>
        <w:tc>
          <w:tcPr>
            <w:tcW w:type="dxa" w:w="1474"/>
          </w:tcPr>
          <w:p>
            <w:r/>
            <w:r>
              <w:rPr>
                <w:sz w:val="15"/>
              </w:rPr>
              <w:t>-3.0 %</w:t>
            </w:r>
          </w:p>
        </w:tc>
        <w:tc>
          <w:tcPr>
            <w:tcW w:type="dxa" w:w="1361"/>
          </w:tcPr>
          <w:p>
            <w:r/>
            <w:r>
              <w:rPr>
                <w:sz w:val="15"/>
              </w:rPr>
              <w:t>-1.3 %</w:t>
            </w:r>
          </w:p>
        </w:tc>
        <w:tc>
          <w:tcPr>
            <w:tcW w:type="dxa" w:w="1474"/>
          </w:tcPr>
          <w:p>
            <w:r/>
            <w:r>
              <w:rPr>
                <w:sz w:val="15"/>
              </w:rPr>
              <w:t>+0.6 %</w:t>
            </w:r>
          </w:p>
        </w:tc>
        <w:tc>
          <w:tcPr>
            <w:tcW w:type="dxa" w:w="2948"/>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474"/>
          </w:tcPr>
          <w:p>
            <w:r/>
            <w:r>
              <w:rPr>
                <w:sz w:val="15"/>
              </w:rPr>
              <w:t>+7.6 %</w:t>
            </w:r>
          </w:p>
        </w:tc>
        <w:tc>
          <w:tcPr>
            <w:tcW w:type="dxa" w:w="1361"/>
          </w:tcPr>
          <w:p>
            <w:r/>
            <w:r>
              <w:rPr>
                <w:sz w:val="15"/>
              </w:rPr>
              <w:t>+1.8 %</w:t>
            </w:r>
          </w:p>
        </w:tc>
        <w:tc>
          <w:tcPr>
            <w:tcW w:type="dxa" w:w="1474"/>
          </w:tcPr>
          <w:p>
            <w:r/>
            <w:r>
              <w:rPr>
                <w:sz w:val="15"/>
              </w:rPr>
              <w:t>+7.0 %</w:t>
            </w:r>
          </w:p>
        </w:tc>
        <w:tc>
          <w:tcPr>
            <w:tcW w:type="dxa" w:w="2948"/>
          </w:tcPr>
          <w:p>
            <w:r/>
            <w:r>
              <w:rPr>
                <w:sz w:val="15"/>
              </w:rPr>
              <w:t>2008/09 2011/12</w:t>
            </w:r>
          </w:p>
        </w:tc>
      </w:tr>
    </w:tbl>
    <w:p/>
    <w:p>
      <w:r>
        <w:rPr>
          <w:b w:val="0"/>
          <w:i/>
          <w:color w:val="52514E"/>
          <w:sz w:val="16"/>
        </w:rPr>
        <w:t>Variation annuelle = campagne N contre N−1 ; écart aux voisines = campagne N contre la moyenne des deux campagnes d'avant et des deux d'après (cycle ON/OFF retiré au Brésil). Au Brésil la variation annuelle porte le cycle : une classe composée surtout d'années ON affiche une hausse mécanique, et inversement.</w:t>
      </w:r>
    </w:p>
    <w:p>
      <w:r>
        <w:rPr>
          <w:b w:val="0"/>
          <w:i w:val="0"/>
          <w:sz w:val="20"/>
        </w:rPr>
        <w:t>Lecture : pour Indonésie, El Niño est historiquement positif pour le rendement (variation annuelle moyenne +7.3 %, écart aux voisines +2.6 %) et La Niña négatif (-1.1 %, écart -0.8 %).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(+0.8 %) : 11 557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