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official ONI/RONI table /home/user/procafe/timeseries/data/oni.csv.</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-2.9 % (4 campagnes, 100 % sous la moyenne). La Niña : +2.3 % (11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(-1.0)</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La Niña 2019/20 (-0.7)</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(-0.6)</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(-1.5)</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-1.1 %</w:t>
            </w:r>
          </w:p>
        </w:tc>
        <w:tc>
          <w:tcPr>
            <w:tcW w:type="dxa" w:w="1361"/>
          </w:tcPr>
          <w:p>
            <w:r/>
            <w:r>
              <w:rPr>
                <w:sz w:val="15"/>
              </w:rPr>
              <w:t>-4.2 %</w:t>
            </w:r>
          </w:p>
        </w:tc>
        <w:tc>
          <w:tcPr>
            <w:tcW w:type="dxa" w:w="1474"/>
          </w:tcPr>
          <w:p>
            <w:r/>
            <w:r>
              <w:rPr>
                <w:sz w:val="15"/>
              </w:rPr>
              <w:t>-0.3 %</w:t>
            </w:r>
          </w:p>
        </w:tc>
        <w:tc>
          <w:tcPr>
            <w:tcW w:type="dxa" w:w="2948"/>
          </w:tcPr>
          <w:p>
            <w:r/>
            <w:r>
              <w:rPr>
                <w:sz w:val="15"/>
              </w:rPr>
              <w:t>2016/17</w:t>
            </w:r>
          </w:p>
        </w:tc>
      </w:tr>
      <w:tr>
        <w:tc>
          <w:tcPr>
            <w:tcW w:type="dxa" w:w="1814"/>
          </w:tcPr>
          <w:p>
            <w:r/>
            <w:r>
              <w:rPr>
                <w:sz w:val="15"/>
              </w:rPr>
              <w:t>El Niño (0,5 à 1,6)</w:t>
            </w:r>
          </w:p>
        </w:tc>
        <w:tc>
          <w:tcPr>
            <w:tcW w:type="dxa" w:w="567"/>
          </w:tcPr>
          <w:p>
            <w:r/>
            <w:r>
              <w:rPr>
                <w:sz w:val="15"/>
              </w:rPr>
              <w:t>6</w:t>
            </w:r>
          </w:p>
        </w:tc>
        <w:tc>
          <w:tcPr>
            <w:tcW w:type="dxa" w:w="1474"/>
          </w:tcPr>
          <w:p>
            <w:r/>
            <w:r>
              <w:rPr>
                <w:sz w:val="15"/>
              </w:rPr>
              <w:t>-1.4 %</w:t>
            </w:r>
          </w:p>
        </w:tc>
        <w:tc>
          <w:tcPr>
            <w:tcW w:type="dxa" w:w="1361"/>
          </w:tcPr>
          <w:p>
            <w:r/>
            <w:r>
              <w:rPr>
                <w:sz w:val="15"/>
              </w:rPr>
              <w:t>-3.1 %</w:t>
            </w:r>
          </w:p>
        </w:tc>
        <w:tc>
          <w:tcPr>
            <w:tcW w:type="dxa" w:w="1474"/>
          </w:tcPr>
          <w:p>
            <w:r/>
            <w:r>
              <w:rPr>
                <w:sz w:val="15"/>
              </w:rPr>
              <w:t>+5.0 %</w:t>
            </w:r>
          </w:p>
        </w:tc>
        <w:tc>
          <w:tcPr>
            <w:tcW w:type="dxa" w:w="2948"/>
          </w:tcPr>
          <w:p>
            <w:r/>
            <w:r>
              <w:rPr>
                <w:sz w:val="15"/>
              </w:rPr>
              <w:t>2005/06 2007/08 2010/11 2015/16 2019/20 2024/25</w:t>
            </w:r>
          </w:p>
        </w:tc>
      </w:tr>
      <w:tr>
        <w:tc>
          <w:tcPr>
            <w:tcW w:type="dxa" w:w="1814"/>
          </w:tcPr>
          <w:p>
            <w:r/>
            <w:r>
              <w:rPr>
                <w:sz w:val="15"/>
              </w:rPr>
              <w:t>neutre</w:t>
            </w:r>
          </w:p>
        </w:tc>
        <w:tc>
          <w:tcPr>
            <w:tcW w:type="dxa" w:w="567"/>
          </w:tcPr>
          <w:p>
            <w:r/>
            <w:r>
              <w:rPr>
                <w:sz w:val="15"/>
              </w:rPr>
              <w:t>3</w:t>
            </w:r>
          </w:p>
        </w:tc>
        <w:tc>
          <w:tcPr>
            <w:tcW w:type="dxa" w:w="1474"/>
          </w:tcPr>
          <w:p>
            <w:r/>
            <w:r>
              <w:rPr>
                <w:sz w:val="15"/>
              </w:rPr>
              <w:t>-0.0 %</w:t>
            </w:r>
          </w:p>
        </w:tc>
        <w:tc>
          <w:tcPr>
            <w:tcW w:type="dxa" w:w="1361"/>
          </w:tcPr>
          <w:p>
            <w:r/>
            <w:r>
              <w:rPr>
                <w:sz w:val="15"/>
              </w:rPr>
              <w:t>-3.0 %</w:t>
            </w:r>
          </w:p>
        </w:tc>
        <w:tc>
          <w:tcPr>
            <w:tcW w:type="dxa" w:w="1474"/>
          </w:tcPr>
          <w:p>
            <w:r/>
            <w:r>
              <w:rPr>
                <w:sz w:val="15"/>
              </w:rPr>
              <w:t>+3.9 %</w:t>
            </w:r>
          </w:p>
        </w:tc>
        <w:tc>
          <w:tcPr>
            <w:tcW w:type="dxa" w:w="2948"/>
          </w:tcPr>
          <w:p>
            <w:r/>
            <w:r>
              <w:rPr>
                <w:sz w:val="15"/>
              </w:rPr>
              <w:t>2004/05 2013/14 2014/15</w:t>
            </w:r>
          </w:p>
        </w:tc>
      </w:tr>
      <w:tr>
        <w:tc>
          <w:tcPr>
            <w:tcW w:type="dxa" w:w="1814"/>
          </w:tcPr>
          <w:p>
            <w:r/>
            <w:r>
              <w:rPr>
                <w:sz w:val="15"/>
              </w:rPr>
              <w:t>La Niña</w:t>
            </w:r>
          </w:p>
        </w:tc>
        <w:tc>
          <w:tcPr>
            <w:tcW w:type="dxa" w:w="567"/>
          </w:tcPr>
          <w:p>
            <w:r/>
            <w:r>
              <w:rPr>
                <w:sz w:val="15"/>
              </w:rPr>
              <w:t>9</w:t>
            </w:r>
          </w:p>
        </w:tc>
        <w:tc>
          <w:tcPr>
            <w:tcW w:type="dxa" w:w="1474"/>
          </w:tcPr>
          <w:p>
            <w:r/>
            <w:r>
              <w:rPr>
                <w:sz w:val="15"/>
              </w:rPr>
              <w:t>+6.4 %</w:t>
            </w:r>
          </w:p>
        </w:tc>
        <w:tc>
          <w:tcPr>
            <w:tcW w:type="dxa" w:w="1361"/>
          </w:tcPr>
          <w:p>
            <w:r/>
            <w:r>
              <w:rPr>
                <w:sz w:val="15"/>
              </w:rPr>
              <w:t>+2.9 %</w:t>
            </w:r>
          </w:p>
        </w:tc>
        <w:tc>
          <w:tcPr>
            <w:tcW w:type="dxa" w:w="1474"/>
          </w:tcPr>
          <w:p>
            <w:r/>
            <w:r>
              <w:rPr>
                <w:sz w:val="15"/>
              </w:rPr>
              <w:t>+6.9 %</w:t>
            </w:r>
          </w:p>
        </w:tc>
        <w:tc>
          <w:tcPr>
            <w:tcW w:type="dxa" w:w="2948"/>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474"/>
          </w:tcPr>
          <w:p>
            <w:r/>
            <w:r>
              <w:rPr>
                <w:sz w:val="15"/>
              </w:rPr>
              <w:t>+4.2 %</w:t>
            </w:r>
          </w:p>
        </w:tc>
        <w:tc>
          <w:tcPr>
            <w:tcW w:type="dxa" w:w="1361"/>
          </w:tcPr>
          <w:p>
            <w:r/>
            <w:r>
              <w:rPr>
                <w:sz w:val="15"/>
              </w:rPr>
              <w:t>-0.7 %</w:t>
            </w:r>
          </w:p>
        </w:tc>
        <w:tc>
          <w:tcPr>
            <w:tcW w:type="dxa" w:w="1474"/>
          </w:tcPr>
          <w:p>
            <w:r/>
            <w:r>
              <w:rPr>
                <w:sz w:val="15"/>
              </w:rPr>
              <w:t>+31.7 %</w:t>
            </w:r>
          </w:p>
        </w:tc>
        <w:tc>
          <w:tcPr>
            <w:tcW w:type="dxa" w:w="2948"/>
          </w:tcPr>
          <w:p>
            <w:r/>
            <w:r>
              <w:rPr>
                <w:sz w:val="15"/>
              </w:rPr>
              <w:t>2008/09 2011/12</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Vietnam, El Niño est historiquement négatif pour le rendement (variation annuelle moyenne -1.4 %, écart aux voisines -3.2 %) et La Niña positif (+6.0 %, écart +2.3 %).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(-4.4 %) : 31 795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