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(ONI ≥ 2 : épisodes 2015/16, 2023/24, campagnes suivantes 2016/17, 2024/25) : Minas Gerais -288 mm et +1.6 °C, Espírito Santo -412 mm et +1.5 °C. Robusta -19.4 % par rapport à l'attendu, arabica -0.1 % (années ON, qui tiennent grâce au cycle), total -5.6 %.</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Les classes d'intensité suivent le pic ONI : fort ≥ 2, modéré 1 à 2, faible &lt; 1. L'épisode 2014/15 (El Niño faible, contesté)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modere (1-2)</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faible (&lt; 1)</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faible (&gt; -1)</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faible (&lt; 1)</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 (&lt;= -1.5)</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faible (&gt; -1)</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modere (1-2)</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 (&lt;= -1.5)</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moderee (-1.5 a -1)</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 (ONI &gt;= 2)</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faible (&gt; -1)</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moderee (-1.5 a -1)</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faible (&lt; 1)</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moderee (-1.5 a -1)</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moderee (-1.5 a -1)</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moderee (-1.5 a -1)</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fort (ONI &gt;= 2)</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 (ONI &gt;= 2)</w:t>
            </w:r>
          </w:p>
        </w:tc>
        <w:tc>
          <w:tcPr>
            <w:tcW w:type="dxa" w:w="454"/>
          </w:tcPr>
          <w:p>
            <w:r/>
            <w:r>
              <w:rPr>
                <w:sz w:val="14"/>
              </w:rPr>
              <w:t>2</w:t>
            </w:r>
          </w:p>
        </w:tc>
        <w:tc>
          <w:tcPr>
            <w:tcW w:type="dxa" w:w="850"/>
          </w:tcPr>
          <w:p>
            <w:r/>
            <w:r>
              <w:rPr>
                <w:sz w:val="14"/>
              </w:rPr>
              <w:t>-0.1 %</w:t>
            </w:r>
          </w:p>
        </w:tc>
        <w:tc>
          <w:tcPr>
            <w:tcW w:type="dxa" w:w="850"/>
          </w:tcPr>
          <w:p>
            <w:r/>
            <w:r>
              <w:rPr>
                <w:sz w:val="14"/>
              </w:rPr>
              <w:t>-19.4 %</w:t>
            </w:r>
          </w:p>
        </w:tc>
        <w:tc>
          <w:tcPr>
            <w:tcW w:type="dxa" w:w="850"/>
          </w:tcPr>
          <w:p>
            <w:r/>
            <w:r>
              <w:rPr>
                <w:sz w:val="14"/>
              </w:rPr>
              <w:t>-5.6 %</w:t>
            </w:r>
          </w:p>
        </w:tc>
        <w:tc>
          <w:tcPr>
            <w:tcW w:type="dxa" w:w="907"/>
          </w:tcPr>
          <w:p>
            <w:r/>
            <w:r>
              <w:rPr>
                <w:sz w:val="14"/>
              </w:rPr>
              <w:t>-3.1 %</w:t>
            </w:r>
          </w:p>
        </w:tc>
        <w:tc>
          <w:tcPr>
            <w:tcW w:type="dxa" w:w="1304"/>
          </w:tcPr>
          <w:p>
            <w:r/>
            <w:r>
              <w:rPr>
                <w:sz w:val="14"/>
              </w:rPr>
              <w:t>-288 mm / +1.6 °C</w:t>
            </w:r>
          </w:p>
        </w:tc>
        <w:tc>
          <w:tcPr>
            <w:tcW w:type="dxa" w:w="1304"/>
          </w:tcPr>
          <w:p>
            <w:r/>
            <w:r>
              <w:rPr>
                <w:sz w:val="14"/>
              </w:rPr>
              <w:t>-412 mm / +1.5 °C</w:t>
            </w:r>
          </w:p>
        </w:tc>
        <w:tc>
          <w:tcPr>
            <w:tcW w:type="dxa" w:w="1984"/>
          </w:tcPr>
          <w:p>
            <w:r/>
            <w:r>
              <w:rPr>
                <w:sz w:val="14"/>
              </w:rPr>
              <w:t>2016/17 2024/25</w:t>
            </w:r>
          </w:p>
        </w:tc>
      </w:tr>
      <w:tr>
        <w:tc>
          <w:tcPr>
            <w:tcW w:type="dxa" w:w="1587"/>
          </w:tcPr>
          <w:p>
            <w:r/>
            <w:r>
              <w:rPr>
                <w:sz w:val="14"/>
              </w:rPr>
              <w:t>El Niño modere (1-2)</w:t>
            </w:r>
          </w:p>
        </w:tc>
        <w:tc>
          <w:tcPr>
            <w:tcW w:type="dxa" w:w="454"/>
          </w:tcPr>
          <w:p>
            <w:r/>
            <w:r>
              <w:rPr>
                <w:sz w:val="14"/>
              </w:rPr>
              <w:t>2</w:t>
            </w:r>
          </w:p>
        </w:tc>
        <w:tc>
          <w:tcPr>
            <w:tcW w:type="dxa" w:w="850"/>
          </w:tcPr>
          <w:p>
            <w:r/>
            <w:r>
              <w:rPr>
                <w:sz w:val="14"/>
              </w:rPr>
              <w:t>-6.1 %</w:t>
            </w:r>
          </w:p>
        </w:tc>
        <w:tc>
          <w:tcPr>
            <w:tcW w:type="dxa" w:w="850"/>
          </w:tcPr>
          <w:p>
            <w:r/>
            <w:r>
              <w:rPr>
                <w:sz w:val="14"/>
              </w:rPr>
              <w:t>-7.9 %</w:t>
            </w:r>
          </w:p>
        </w:tc>
        <w:tc>
          <w:tcPr>
            <w:tcW w:type="dxa" w:w="850"/>
          </w:tcPr>
          <w:p>
            <w:r/>
            <w:r>
              <w:rPr>
                <w:sz w:val="14"/>
              </w:rPr>
              <w:t>-6.6 %</w:t>
            </w:r>
          </w:p>
        </w:tc>
        <w:tc>
          <w:tcPr>
            <w:tcW w:type="dxa" w:w="907"/>
          </w:tcPr>
          <w:p>
            <w:r/>
            <w:r>
              <w:rPr>
                <w:sz w:val="14"/>
              </w:rPr>
              <w:t>-11.2 %</w:t>
            </w:r>
          </w:p>
        </w:tc>
        <w:tc>
          <w:tcPr>
            <w:tcW w:type="dxa" w:w="1304"/>
          </w:tcPr>
          <w:p>
            <w:r/>
            <w:r>
              <w:rPr>
                <w:sz w:val="14"/>
              </w:rPr>
              <w:t>+21 mm / -0.2 °C</w:t>
            </w:r>
          </w:p>
        </w:tc>
        <w:tc>
          <w:tcPr>
            <w:tcW w:type="dxa" w:w="1304"/>
          </w:tcPr>
          <w:p>
            <w:r/>
            <w:r>
              <w:rPr>
                <w:sz w:val="14"/>
              </w:rPr>
              <w:t>-133 mm / +0.2 °C</w:t>
            </w:r>
          </w:p>
        </w:tc>
        <w:tc>
          <w:tcPr>
            <w:tcW w:type="dxa" w:w="1984"/>
          </w:tcPr>
          <w:p>
            <w:r/>
            <w:r>
              <w:rPr>
                <w:sz w:val="14"/>
              </w:rPr>
              <w:t>2003/04 2010/11</w:t>
            </w:r>
          </w:p>
        </w:tc>
      </w:tr>
      <w:tr>
        <w:tc>
          <w:tcPr>
            <w:tcW w:type="dxa" w:w="1587"/>
          </w:tcPr>
          <w:p>
            <w:r/>
            <w:r>
              <w:rPr>
                <w:sz w:val="14"/>
              </w:rPr>
              <w:t>El Niño faible (&lt; 1)</w:t>
            </w:r>
          </w:p>
        </w:tc>
        <w:tc>
          <w:tcPr>
            <w:tcW w:type="dxa" w:w="454"/>
          </w:tcPr>
          <w:p>
            <w:r/>
            <w:r>
              <w:rPr>
                <w:sz w:val="14"/>
              </w:rPr>
              <w:t>3</w:t>
            </w:r>
          </w:p>
        </w:tc>
        <w:tc>
          <w:tcPr>
            <w:tcW w:type="dxa" w:w="850"/>
          </w:tcPr>
          <w:p>
            <w:r/>
            <w:r>
              <w:rPr>
                <w:sz w:val="14"/>
              </w:rPr>
              <w:t>-1.8 %</w:t>
            </w:r>
          </w:p>
        </w:tc>
        <w:tc>
          <w:tcPr>
            <w:tcW w:type="dxa" w:w="850"/>
          </w:tcPr>
          <w:p>
            <w:r/>
            <w:r>
              <w:rPr>
                <w:sz w:val="14"/>
              </w:rPr>
              <w:t>+1.1 %</w:t>
            </w:r>
          </w:p>
        </w:tc>
        <w:tc>
          <w:tcPr>
            <w:tcW w:type="dxa" w:w="850"/>
          </w:tcPr>
          <w:p>
            <w:r/>
            <w:r>
              <w:rPr>
                <w:sz w:val="14"/>
              </w:rPr>
              <w:t>-1.0 %</w:t>
            </w:r>
          </w:p>
        </w:tc>
        <w:tc>
          <w:tcPr>
            <w:tcW w:type="dxa" w:w="907"/>
          </w:tcPr>
          <w:p>
            <w:r/>
            <w:r>
              <w:rPr>
                <w:sz w:val="14"/>
              </w:rPr>
              <w:t>-1.1 %</w:t>
            </w:r>
          </w:p>
        </w:tc>
        <w:tc>
          <w:tcPr>
            <w:tcW w:type="dxa" w:w="1304"/>
          </w:tcPr>
          <w:p>
            <w:r/>
            <w:r>
              <w:rPr>
                <w:sz w:val="14"/>
              </w:rPr>
              <w:t>+91 mm / -0.1 °C</w:t>
            </w:r>
          </w:p>
        </w:tc>
        <w:tc>
          <w:tcPr>
            <w:tcW w:type="dxa" w:w="1304"/>
          </w:tcPr>
          <w:p>
            <w:r/>
            <w:r>
              <w:rPr>
                <w:sz w:val="14"/>
              </w:rPr>
              <w:t>+178 mm / -0.2 °C</w:t>
            </w:r>
          </w:p>
        </w:tc>
        <w:tc>
          <w:tcPr>
            <w:tcW w:type="dxa" w:w="1984"/>
          </w:tcPr>
          <w:p>
            <w:r/>
            <w:r>
              <w:rPr>
                <w:sz w:val="14"/>
              </w:rPr>
              <w:t>2005/06 2007/08 2019/20</w:t>
            </w:r>
          </w:p>
        </w:tc>
      </w:tr>
      <w:tr>
        <w:tc>
          <w:tcPr>
            <w:tcW w:type="dxa" w:w="1587"/>
          </w:tcPr>
          <w:p>
            <w:r/>
            <w:r>
              <w:rPr>
                <w:sz w:val="14"/>
              </w:rPr>
              <w:t>La Niña faible (&gt; -1)</w:t>
            </w:r>
          </w:p>
        </w:tc>
        <w:tc>
          <w:tcPr>
            <w:tcW w:type="dxa" w:w="454"/>
          </w:tcPr>
          <w:p>
            <w:r/>
            <w:r>
              <w:rPr>
                <w:sz w:val="14"/>
              </w:rPr>
              <w:t>3</w:t>
            </w:r>
          </w:p>
        </w:tc>
        <w:tc>
          <w:tcPr>
            <w:tcW w:type="dxa" w:w="850"/>
          </w:tcPr>
          <w:p>
            <w:r/>
            <w:r>
              <w:rPr>
                <w:sz w:val="14"/>
              </w:rPr>
              <w:t>+0.6 %</w:t>
            </w:r>
          </w:p>
        </w:tc>
        <w:tc>
          <w:tcPr>
            <w:tcW w:type="dxa" w:w="850"/>
          </w:tcPr>
          <w:p>
            <w:r/>
            <w:r>
              <w:rPr>
                <w:sz w:val="14"/>
              </w:rPr>
              <w:t>-8.3 %</w:t>
            </w:r>
          </w:p>
        </w:tc>
        <w:tc>
          <w:tcPr>
            <w:tcW w:type="dxa" w:w="850"/>
          </w:tcPr>
          <w:p>
            <w:r/>
            <w:r>
              <w:rPr>
                <w:sz w:val="14"/>
              </w:rPr>
              <w:t>-1.7 %</w:t>
            </w:r>
          </w:p>
        </w:tc>
        <w:tc>
          <w:tcPr>
            <w:tcW w:type="dxa" w:w="907"/>
          </w:tcPr>
          <w:p>
            <w:r/>
            <w:r>
              <w:rPr>
                <w:sz w:val="14"/>
              </w:rPr>
              <w:t>-1.8 %</w:t>
            </w:r>
          </w:p>
        </w:tc>
        <w:tc>
          <w:tcPr>
            <w:tcW w:type="dxa" w:w="1304"/>
          </w:tcPr>
          <w:p>
            <w:r/>
            <w:r>
              <w:rPr>
                <w:sz w:val="14"/>
              </w:rPr>
              <w:t>+20 mm / -0.3 °C</w:t>
            </w:r>
          </w:p>
        </w:tc>
        <w:tc>
          <w:tcPr>
            <w:tcW w:type="dxa" w:w="1304"/>
          </w:tcPr>
          <w:p>
            <w:r/>
            <w:r>
              <w:rPr>
                <w:sz w:val="14"/>
              </w:rPr>
              <w:t>+48 mm / -0.3 °C</w:t>
            </w:r>
          </w:p>
        </w:tc>
        <w:tc>
          <w:tcPr>
            <w:tcW w:type="dxa" w:w="1984"/>
          </w:tcPr>
          <w:p>
            <w:r/>
            <w:r>
              <w:rPr>
                <w:sz w:val="14"/>
              </w:rPr>
              <w:t>2006/07 2009/10 2017/18</w:t>
            </w:r>
          </w:p>
        </w:tc>
      </w:tr>
      <w:tr>
        <w:tc>
          <w:tcPr>
            <w:tcW w:type="dxa" w:w="1587"/>
          </w:tcPr>
          <w:p>
            <w:r/>
            <w:r>
              <w:rPr>
                <w:sz w:val="14"/>
              </w:rPr>
              <w:t>La Niña moderee (-1.5 a -1)</w:t>
            </w:r>
          </w:p>
        </w:tc>
        <w:tc>
          <w:tcPr>
            <w:tcW w:type="dxa" w:w="454"/>
          </w:tcPr>
          <w:p>
            <w:r/>
            <w:r>
              <w:rPr>
                <w:sz w:val="14"/>
              </w:rPr>
              <w:t>5</w:t>
            </w:r>
          </w:p>
        </w:tc>
        <w:tc>
          <w:tcPr>
            <w:tcW w:type="dxa" w:w="850"/>
          </w:tcPr>
          <w:p>
            <w:r/>
            <w:r>
              <w:rPr>
                <w:sz w:val="14"/>
              </w:rPr>
              <w:t>-0.3 %</w:t>
            </w:r>
          </w:p>
        </w:tc>
        <w:tc>
          <w:tcPr>
            <w:tcW w:type="dxa" w:w="850"/>
          </w:tcPr>
          <w:p>
            <w:r/>
            <w:r>
              <w:rPr>
                <w:sz w:val="14"/>
              </w:rPr>
              <w:t>+4.0 %</w:t>
            </w:r>
          </w:p>
        </w:tc>
        <w:tc>
          <w:tcPr>
            <w:tcW w:type="dxa" w:w="850"/>
          </w:tcPr>
          <w:p>
            <w:r/>
            <w:r>
              <w:rPr>
                <w:sz w:val="14"/>
              </w:rPr>
              <w:t>+0.8 %</w:t>
            </w:r>
          </w:p>
        </w:tc>
        <w:tc>
          <w:tcPr>
            <w:tcW w:type="dxa" w:w="907"/>
          </w:tcPr>
          <w:p>
            <w:r/>
            <w:r>
              <w:rPr>
                <w:sz w:val="14"/>
              </w:rPr>
              <w:t>+0.3 %</w:t>
            </w:r>
          </w:p>
        </w:tc>
        <w:tc>
          <w:tcPr>
            <w:tcW w:type="dxa" w:w="1304"/>
          </w:tcPr>
          <w:p>
            <w:r/>
            <w:r>
              <w:rPr>
                <w:sz w:val="14"/>
              </w:rPr>
              <w:t>-57 mm / +0.0 °C</w:t>
            </w:r>
          </w:p>
        </w:tc>
        <w:tc>
          <w:tcPr>
            <w:tcW w:type="dxa" w:w="1304"/>
          </w:tcPr>
          <w:p>
            <w:r/>
            <w:r>
              <w:rPr>
                <w:sz w:val="14"/>
              </w:rPr>
              <w:t>+5 mm / -0.1 °C</w:t>
            </w:r>
          </w:p>
        </w:tc>
        <w:tc>
          <w:tcPr>
            <w:tcW w:type="dxa" w:w="1984"/>
          </w:tcPr>
          <w:p>
            <w:r/>
            <w:r>
              <w:rPr>
                <w:sz w:val="14"/>
              </w:rPr>
              <w:t>2012/13 2018/19 2021/22 2022/23 2023/24</w:t>
            </w:r>
          </w:p>
        </w:tc>
      </w:tr>
      <w:tr>
        <w:tc>
          <w:tcPr>
            <w:tcW w:type="dxa" w:w="1587"/>
          </w:tcPr>
          <w:p>
            <w:r/>
            <w:r>
              <w:rPr>
                <w:sz w:val="14"/>
              </w:rPr>
              <w:t>La Niña forte (&lt;= -1.5)</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deux El Niño forts de la période (2015/16, 2023/24) ont donné des campagnes N+1 avec -412 mm et +1.5 °C en Espírito Santo et -288 mm, +1.6 °C à Minas Gerais. Le conilon, non irrigué dans une bonne partie de São Mateus, a perdu -19.4 % par rapport à l'attendu (−30 % en 2016/17) ; l'arabica, en année ON les deux fois, est resté à -0.1 % de l'attendu : le cycle a masqué le choc, mais ces deux années ON sont les plus faibles de leur décennie pour une année ON. Les El Niño faibles (ONI &lt; 1) n'ont pas de signature météo ni de signature de rendement.</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232806"/>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232806"/>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pPr>
        <w:pStyle w:val="ListBullet"/>
      </w:pPr>
      <w:r>
        <w:rPr>
          <w:sz w:val="17"/>
        </w:rPr>
        <w:t>2026/27 : Arabica 49 944 = 26 423 (niveau de base) + 16 077 (tendance +618 par an × 26 campagnes depuis 2001/02) + 7 443 (année ON : bonus du cycle) ; Robusta 24 710 = 7 813 (niveau de base) + 14 814 (tendance +570 par an × 26 campagnes depuis 2001/02) + 2 083 (report de 72 % de la surprise de la dernière campagne observée) ; Total 72 338 = 34 231 (niveau de base) + 30 629 (tendance +1 178 par an × 26 campagnes depuis 2001/02) + 7 479 (année ON : bonus du cycle). Météo : normale, donc 0.</w:t>
      </w:r>
    </w:p>
    <w:p>
      <w:pPr>
        <w:pStyle w:val="ListBullet"/>
      </w:pPr>
      <w:r>
        <w:rPr>
          <w:sz w:val="17"/>
        </w:rPr>
        <w:t>2027/28 : Arabica 43 119 = 26 423 (niveau de base) + 16 696 (tendance +618 par an × 27 campagnes depuis 2001/02) + 0 (année OFF : pas de bonus) ; Robusta 23 196 = 7 813 (niveau de base) + 15 383 (tendance +570 par an × 27 campagnes depuis 2001/02) ; Total 66 038 = 34 231 (niveau de base) + 31 807 (tendance +1 178 par an × 27 campagnes depuis 2001/02) + 0 (année OFF : pas de bonus). Météo : normale, donc 0. Campagne pilotée par l'El Niño en cours : si modéré, arabica -6.1 % → 40 493, robusta -7.9 % → 21 373 ; si fort, arabica -0.1 % → 43 074, robusta -19.4 % → 18 698 (moyennes historiques des campagnes N+1 de chaque classe).</w:t>
      </w:r>
    </w:p>
    <w:p>
      <w:pPr>
        <w:pStyle w:val="ListBullet"/>
      </w:pPr>
      <w:r>
        <w:rPr>
          <w:sz w:val="17"/>
        </w:rPr>
        <w:t>2028/29 : Arabica 51 180 = 26 423 (niveau de base) + 17 314 (tendance +618 par an × 28 campagnes depuis 2001/02) + 7 443 (année ON : bonus du cycle) ; Robusta 23 766 = 7 813 (niveau de base) + 15 953 (tendance +570 par an × 28 campagnes depuis 2001/02) ; Total 74 694 = 34 231 (niveau de base) + 32 985 (tendance +1 178 par an × 28 campagnes depuis 2001/02) + 7 479 (année ON : bonus du cycle). Météo : normale, donc 0.</w:t>
      </w:r>
    </w:p>
    <w:p>
      <w:pPr>
        <w:pStyle w:val="ListBullet"/>
      </w:pPr>
      <w:r>
        <w:rPr>
          <w:sz w:val="17"/>
        </w:rPr>
        <w:t>2029/30 : Arabica 44 356 = 26 423 (niveau de base) + 17 932 (tendance +618 par an × 29 campagnes depuis 2001/02) + 0 (année OFF : pas de bonus) ; Robusta 24 336 = 7 813 (niveau de base) + 16 523 (tendance +570 par an × 29 campagnes depuis 2001/02) ; Total 68 394 = 34 231 (niveau de base) + 34 163 (tendance +1 178 par an × 29 campagnes depuis 2001/02) + 0 (année OFF : pas de bonus). Météo : normale, donc 0.</w:t>
      </w:r>
    </w:p>
    <w:p>
      <w:pPr>
        <w:pStyle w:val="ListBullet"/>
      </w:pPr>
      <w:r>
        <w:rPr>
          <w:sz w:val="17"/>
        </w:rPr>
        <w:t>2030/31 : Arabica 52 417 = 26 423 (niveau de base) + 18 551 (tendance +618 par an × 30 campagnes depuis 2001/02) + 7 443 (année ON : bonus du cycle) ; Robusta 24 905 = 7 813 (niveau de base) + 17 092 (tendance +570 par an × 30 campagnes depuis 2001/02) ; Total 77 050 = 34 231 (niveau de base) + 35 341 (tendance +1 178 par an × 30 campagnes depuis 2001/02) + 7 479 (année ON : bonus du cycle). Météo : normale, donc 0.</w:t>
      </w:r>
    </w:p>
    <w:p>
      <w:pPr>
        <w:pStyle w:val="ListBullet"/>
      </w:pPr>
      <w:r>
        <w:rPr>
          <w:sz w:val="17"/>
        </w:rPr>
        <w:t>2031/32 : Arabica 45 592 = 26 423 (niveau de base) + 19 169 (tendance +618 par an × 31 campagnes depuis 2001/02) + 0 (année OFF : pas de bonus) ; Robusta 25 475 = 7 813 (niveau de base) + 17 662 (tendance +570 par an × 31 campagnes depuis 2001/02) ; Total 70 750 = 34 231 (niveau de base) + 36 519 (tendance +1 178 par an × 31 campagnes depuis 2001/02) + 0 (année OFF : pas de bonus). Météo : normale, donc 0.</w:t>
      </w:r>
    </w:p>
    <w:p>
      <w:r>
        <w:rPr>
          <w:b w:val="0"/>
          <w:i/>
          <w:sz w:val="20"/>
        </w:rPr>
        <w:t>En une phrase : chaque prévision = niveau de base + tendance × nombre de campagnes + bonus ON/OFF,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