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Indonésie : balance sheet café, de la météo au rendement et à la production</w:t>
      </w:r>
    </w:p>
    <w:p>
      <w:r>
        <w:rPr>
          <w:b w:val="0"/>
          <w:i/>
          <w:color w:val="52514E"/>
          <w:sz w:val="18"/>
        </w:rPr>
        <w:t>Au 16 septembre 2026. Source des chiffres : balance sheet (onglet Indonesia), USDA. Classification ENSO : NOAA CPC episode list reproduced from memory (peak ONI approximate); drop the CPC table in data/oni.csv to replace it.</w:t>
      </w:r>
    </w:p>
    <w:p>
      <w:r>
        <w:rPr>
          <w:b w:val="0"/>
          <w:i w:val="0"/>
          <w:sz w:val="18"/>
        </w:rPr>
        <w:t>Les surfaces USDA sont en millions d'ha et quasi constantes ; le rendement est calculé comme production / surface bearing.</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9 325 à 12 370 (+1.9 % par an) : surface bearing +0.2 % par an, rendement +1.7 % par an. Le rendement fait la croissance.</w:t>
      </w:r>
    </w:p>
    <w:p>
      <w:pPr>
        <w:pStyle w:val="ListBullet"/>
      </w:pPr>
      <w:r>
        <w:rPr>
          <w:sz w:val="20"/>
        </w:rPr>
        <w:t>El Niño : rendement en moyenne +2.6 % par rapport aux campagnes voisines sur 7 campagnes (43 % d'entre elles sous la moyenne) ; El Niño fort : -4.1 % (3 campagnes, 67 % sous la moyenne). La Niña : -0.9 % (10 campagnes).</w:t>
      </w:r>
    </w:p>
    <w:p>
      <w:pPr>
        <w:pStyle w:val="ListBullet"/>
      </w:pPr>
      <w:r>
        <w:rPr>
          <w:sz w:val="20"/>
        </w:rPr>
        <w:t>L'El Niño en cours pilote donc la campagne 2027/28.</w:t>
      </w:r>
    </w:p>
    <w:p>
      <w:pPr>
        <w:pStyle w:val="ListBullet"/>
      </w:pPr>
      <w:r>
        <w:rPr>
          <w:sz w:val="20"/>
        </w:rPr>
        <w:t>Prévision Production Total 2027/28 : 11 461 (intervalle 80 % 9 998 – 12 923) par le modèle ARMA ; avec l'effet El Niño historique moyen (+1.1 %) : 11 581.</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20479"/>
            <wp:docPr id="1" name="Picture 1"/>
            <wp:cNvGraphicFramePr>
              <a:graphicFrameLocks noChangeAspect="1"/>
            </wp:cNvGraphicFramePr>
            <a:graphic>
              <a:graphicData uri="http://schemas.openxmlformats.org/drawingml/2006/picture">
                <pic:pic>
                  <pic:nvPicPr>
                    <pic:cNvPr id="0" name="indonesia_chain.png"/>
                    <pic:cNvPicPr/>
                  </pic:nvPicPr>
                  <pic:blipFill>
                    <a:blip r:embed="rId9"/>
                    <a:stretch>
                      <a:fillRect/>
                    </a:stretch>
                  </pic:blipFill>
                  <pic:spPr>
                    <a:xfrm>
                      <a:off x="0" y="0"/>
                      <a:ext cx="5760000" cy="2720479"/>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88 %, Sud-Sumatra, Lampung, Java, Sulawesi) et arabica (≈ 12 %, Nord-Sumatra, Aceh, Toraja, Java, Flores). Campagne USDA : avril-mars. Régions : robusta : Lampung, Sumatra-Sud, Bengkulu ; arabica : Aceh (Gayo), Nord-Sumatra (Lintong, Mandheling), Toraja, Bali, Flores.</w:t>
      </w:r>
    </w:p>
    <w:p>
      <w:pPr>
        <w:jc w:val="center"/>
      </w:pPr>
      <w:r>
        <w:drawing>
          <wp:inline xmlns:a="http://schemas.openxmlformats.org/drawingml/2006/main" xmlns:pic="http://schemas.openxmlformats.org/drawingml/2006/picture">
            <wp:extent cx="5760000" cy="1988911"/>
            <wp:docPr id="2" name="Picture 2"/>
            <wp:cNvGraphicFramePr>
              <a:graphicFrameLocks noChangeAspect="1"/>
            </wp:cNvGraphicFramePr>
            <a:graphic>
              <a:graphicData uri="http://schemas.openxmlformats.org/drawingml/2006/picture">
                <pic:pic>
                  <pic:nvPicPr>
                    <pic:cNvPr id="0" name="indonesia_calendar.png"/>
                    <pic:cNvPicPr/>
                  </pic:nvPicPr>
                  <pic:blipFill>
                    <a:blip r:embed="rId10"/>
                    <a:stretch>
                      <a:fillRect/>
                    </a:stretch>
                  </pic:blipFill>
                  <pic:spPr>
                    <a:xfrm>
                      <a:off x="0" y="0"/>
                      <a:ext cx="5760000" cy="198891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robusta avril-sept. de Y) dépend de la saison sèche et de la floraison d'août-oct. Y-1 puis de la mousson : l'épisode qui culmine en déc.-fév. Y-1/Y la pilote. L'El Niño en cours pilote donc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10 600</w:t>
            </w:r>
          </w:p>
        </w:tc>
        <w:tc>
          <w:tcPr>
            <w:tcW w:type="dxa" w:w="997"/>
          </w:tcPr>
          <w:p>
            <w:r/>
            <w:r>
              <w:rPr>
                <w:sz w:val="15"/>
              </w:rPr>
              <w:t>10 700</w:t>
            </w:r>
          </w:p>
        </w:tc>
        <w:tc>
          <w:tcPr>
            <w:tcW w:type="dxa" w:w="997"/>
          </w:tcPr>
          <w:p>
            <w:r/>
            <w:r>
              <w:rPr>
                <w:sz w:val="15"/>
              </w:rPr>
              <w:t>10 700</w:t>
            </w:r>
          </w:p>
        </w:tc>
        <w:tc>
          <w:tcPr>
            <w:tcW w:type="dxa" w:w="997"/>
          </w:tcPr>
          <w:p>
            <w:r/>
            <w:r>
              <w:rPr>
                <w:sz w:val="15"/>
              </w:rPr>
              <w:t>10 580</w:t>
            </w:r>
          </w:p>
        </w:tc>
        <w:tc>
          <w:tcPr>
            <w:tcW w:type="dxa" w:w="997"/>
          </w:tcPr>
          <w:p>
            <w:r/>
            <w:r>
              <w:rPr>
                <w:sz w:val="15"/>
              </w:rPr>
              <w:t>10 700</w:t>
            </w:r>
          </w:p>
        </w:tc>
        <w:tc>
          <w:tcPr>
            <w:tcW w:type="dxa" w:w="997"/>
          </w:tcPr>
          <w:p>
            <w:r/>
            <w:r>
              <w:rPr>
                <w:sz w:val="15"/>
              </w:rPr>
              <w:t>8 150</w:t>
            </w:r>
          </w:p>
        </w:tc>
        <w:tc>
          <w:tcPr>
            <w:tcW w:type="dxa" w:w="997"/>
          </w:tcPr>
          <w:p>
            <w:r/>
            <w:r>
              <w:rPr>
                <w:sz w:val="15"/>
              </w:rPr>
              <w:t>10 700</w:t>
            </w:r>
          </w:p>
        </w:tc>
        <w:tc>
          <w:tcPr>
            <w:tcW w:type="dxa" w:w="997"/>
          </w:tcPr>
          <w:p>
            <w:r/>
            <w:r>
              <w:rPr>
                <w:sz w:val="15"/>
              </w:rPr>
              <w:t>12 370</w:t>
            </w:r>
          </w:p>
        </w:tc>
        <w:tc>
          <w:tcPr>
            <w:tcW w:type="dxa" w:w="997"/>
          </w:tcPr>
          <w:p>
            <w:r/>
            <w:r>
              <w:rPr>
                <w:sz w:val="15"/>
              </w:rPr>
              <w:t>11 380</w:t>
            </w:r>
          </w:p>
        </w:tc>
      </w:tr>
      <w:tr>
        <w:tc>
          <w:tcPr>
            <w:tcW w:type="dxa" w:w="997"/>
          </w:tcPr>
          <w:p>
            <w:r/>
            <w:r>
              <w:rPr>
                <w:sz w:val="15"/>
              </w:rPr>
              <w:t>Arabica (1000 60-kg bags)</w:t>
            </w:r>
          </w:p>
        </w:tc>
        <w:tc>
          <w:tcPr>
            <w:tcW w:type="dxa" w:w="997"/>
          </w:tcPr>
          <w:p>
            <w:r/>
            <w:r>
              <w:rPr>
                <w:sz w:val="15"/>
              </w:rPr>
              <w:t>1 200</w:t>
            </w:r>
          </w:p>
        </w:tc>
        <w:tc>
          <w:tcPr>
            <w:tcW w:type="dxa" w:w="997"/>
          </w:tcPr>
          <w:p>
            <w:r/>
            <w:r>
              <w:rPr>
                <w:sz w:val="15"/>
              </w:rPr>
              <w:t>1 250</w:t>
            </w:r>
          </w:p>
        </w:tc>
        <w:tc>
          <w:tcPr>
            <w:tcW w:type="dxa" w:w="997"/>
          </w:tcPr>
          <w:p>
            <w:r/>
            <w:r>
              <w:rPr>
                <w:sz w:val="15"/>
              </w:rPr>
              <w:t>1 300</w:t>
            </w:r>
          </w:p>
        </w:tc>
        <w:tc>
          <w:tcPr>
            <w:tcW w:type="dxa" w:w="997"/>
          </w:tcPr>
          <w:p>
            <w:r/>
            <w:r>
              <w:rPr>
                <w:sz w:val="15"/>
              </w:rPr>
              <w:t>1 280</w:t>
            </w:r>
          </w:p>
        </w:tc>
        <w:tc>
          <w:tcPr>
            <w:tcW w:type="dxa" w:w="997"/>
          </w:tcPr>
          <w:p>
            <w:r/>
            <w:r>
              <w:rPr>
                <w:sz w:val="15"/>
              </w:rPr>
              <w:t>1 200</w:t>
            </w:r>
          </w:p>
        </w:tc>
        <w:tc>
          <w:tcPr>
            <w:tcW w:type="dxa" w:w="997"/>
          </w:tcPr>
          <w:p>
            <w:r/>
            <w:r>
              <w:rPr>
                <w:sz w:val="15"/>
              </w:rPr>
              <w:t>1 350</w:t>
            </w:r>
          </w:p>
        </w:tc>
        <w:tc>
          <w:tcPr>
            <w:tcW w:type="dxa" w:w="997"/>
          </w:tcPr>
          <w:p>
            <w:r/>
            <w:r>
              <w:rPr>
                <w:sz w:val="15"/>
              </w:rPr>
              <w:t>1 400</w:t>
            </w:r>
          </w:p>
        </w:tc>
        <w:tc>
          <w:tcPr>
            <w:tcW w:type="dxa" w:w="997"/>
          </w:tcPr>
          <w:p>
            <w:r/>
            <w:r>
              <w:rPr>
                <w:sz w:val="15"/>
              </w:rPr>
              <w:t>1 370</w:t>
            </w:r>
          </w:p>
        </w:tc>
        <w:tc>
          <w:tcPr>
            <w:tcW w:type="dxa" w:w="997"/>
          </w:tcPr>
          <w:p>
            <w:r/>
            <w:r>
              <w:rPr>
                <w:sz w:val="15"/>
              </w:rPr>
              <w:t>1 380</w:t>
            </w:r>
          </w:p>
        </w:tc>
      </w:tr>
      <w:tr>
        <w:tc>
          <w:tcPr>
            <w:tcW w:type="dxa" w:w="997"/>
          </w:tcPr>
          <w:p>
            <w:r/>
            <w:r>
              <w:rPr>
                <w:sz w:val="15"/>
              </w:rPr>
              <w:t>Robusta (1000 60-kg bags)</w:t>
            </w:r>
          </w:p>
        </w:tc>
        <w:tc>
          <w:tcPr>
            <w:tcW w:type="dxa" w:w="997"/>
          </w:tcPr>
          <w:p>
            <w:r/>
            <w:r>
              <w:rPr>
                <w:sz w:val="15"/>
              </w:rPr>
              <w:t>9 400</w:t>
            </w:r>
          </w:p>
        </w:tc>
        <w:tc>
          <w:tcPr>
            <w:tcW w:type="dxa" w:w="997"/>
          </w:tcPr>
          <w:p>
            <w:r/>
            <w:r>
              <w:rPr>
                <w:sz w:val="15"/>
              </w:rPr>
              <w:t>9 450</w:t>
            </w:r>
          </w:p>
        </w:tc>
        <w:tc>
          <w:tcPr>
            <w:tcW w:type="dxa" w:w="997"/>
          </w:tcPr>
          <w:p>
            <w:r/>
            <w:r>
              <w:rPr>
                <w:sz w:val="15"/>
              </w:rPr>
              <w:t>9 400</w:t>
            </w:r>
          </w:p>
        </w:tc>
        <w:tc>
          <w:tcPr>
            <w:tcW w:type="dxa" w:w="997"/>
          </w:tcPr>
          <w:p>
            <w:r/>
            <w:r>
              <w:rPr>
                <w:sz w:val="15"/>
              </w:rPr>
              <w:t>9 300</w:t>
            </w:r>
          </w:p>
        </w:tc>
        <w:tc>
          <w:tcPr>
            <w:tcW w:type="dxa" w:w="997"/>
          </w:tcPr>
          <w:p>
            <w:r/>
            <w:r>
              <w:rPr>
                <w:sz w:val="15"/>
              </w:rPr>
              <w:t>9 500</w:t>
            </w:r>
          </w:p>
        </w:tc>
        <w:tc>
          <w:tcPr>
            <w:tcW w:type="dxa" w:w="997"/>
          </w:tcPr>
          <w:p>
            <w:r/>
            <w:r>
              <w:rPr>
                <w:sz w:val="15"/>
              </w:rPr>
              <w:t>6 800</w:t>
            </w:r>
          </w:p>
        </w:tc>
        <w:tc>
          <w:tcPr>
            <w:tcW w:type="dxa" w:w="997"/>
          </w:tcPr>
          <w:p>
            <w:r/>
            <w:r>
              <w:rPr>
                <w:sz w:val="15"/>
              </w:rPr>
              <w:t>9 300</w:t>
            </w:r>
          </w:p>
        </w:tc>
        <w:tc>
          <w:tcPr>
            <w:tcW w:type="dxa" w:w="997"/>
          </w:tcPr>
          <w:p>
            <w:r/>
            <w:r>
              <w:rPr>
                <w:sz w:val="15"/>
              </w:rPr>
              <w:t>11 000</w:t>
            </w:r>
          </w:p>
        </w:tc>
        <w:tc>
          <w:tcPr>
            <w:tcW w:type="dxa" w:w="997"/>
          </w:tcPr>
          <w:p>
            <w:r/>
            <w:r>
              <w:rPr>
                <w:sz w:val="15"/>
              </w:rPr>
              <w:t>10 000</w:t>
            </w:r>
          </w:p>
        </w:tc>
      </w:tr>
      <w:tr>
        <w:tc>
          <w:tcPr>
            <w:tcW w:type="dxa" w:w="997"/>
          </w:tcPr>
          <w:p>
            <w:r/>
            <w:r>
              <w:rPr>
                <w:sz w:val="15"/>
              </w:rPr>
              <w:t>Surface totale (million ha)</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c>
          <w:tcPr>
            <w:tcW w:type="dxa" w:w="997"/>
          </w:tcPr>
          <w:p>
            <w:r/>
            <w:r>
              <w:rPr>
                <w:sz w:val="15"/>
              </w:rPr>
              <w:t>2.45</w:t>
            </w:r>
          </w:p>
        </w:tc>
      </w:tr>
      <w:tr>
        <w:tc>
          <w:tcPr>
            <w:tcW w:type="dxa" w:w="997"/>
          </w:tcPr>
          <w:p>
            <w:r/>
            <w:r>
              <w:rPr>
                <w:sz w:val="15"/>
              </w:rPr>
              <w:t>Surface bearing (million ha)</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c>
          <w:tcPr>
            <w:tcW w:type="dxa" w:w="997"/>
          </w:tcPr>
          <w:p>
            <w:r/>
            <w:r>
              <w:rPr>
                <w:sz w:val="15"/>
              </w:rPr>
              <w:t>1.20</w:t>
            </w:r>
          </w:p>
        </w:tc>
      </w:tr>
      <w:tr>
        <w:tc>
          <w:tcPr>
            <w:tcW w:type="dxa" w:w="997"/>
          </w:tcPr>
          <w:p>
            <w:r/>
            <w:r>
              <w:rPr>
                <w:sz w:val="15"/>
              </w:rPr>
              <w:t>Surface non-bearing (million ha)</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c>
          <w:tcPr>
            <w:tcW w:type="dxa" w:w="997"/>
          </w:tcPr>
          <w:p>
            <w:r/>
            <w:r>
              <w:rPr>
                <w:sz w:val="15"/>
              </w:rPr>
              <w:t>1.25</w:t>
            </w:r>
          </w:p>
        </w:tc>
      </w:tr>
      <w:tr>
        <w:tc>
          <w:tcPr>
            <w:tcW w:type="dxa" w:w="997"/>
          </w:tcPr>
          <w:p>
            <w:r/>
            <w:r>
              <w:rPr>
                <w:sz w:val="15"/>
              </w:rPr>
              <w:t>Arbres (M) (million trees)</w:t>
            </w:r>
          </w:p>
        </w:tc>
        <w:tc>
          <w:tcPr>
            <w:tcW w:type="dxa" w:w="997"/>
          </w:tcPr>
          <w:p>
            <w:r/>
            <w:r>
              <w:rPr>
                <w:sz w:val="15"/>
              </w:rPr>
              <w:t>1 175</w:t>
            </w:r>
          </w:p>
        </w:tc>
        <w:tc>
          <w:tcPr>
            <w:tcW w:type="dxa" w:w="997"/>
          </w:tcPr>
          <w:p>
            <w:r/>
            <w:r>
              <w:rPr>
                <w:sz w:val="15"/>
              </w:rPr>
              <w:t>1 175</w:t>
            </w:r>
          </w:p>
        </w:tc>
        <w:tc>
          <w:tcPr>
            <w:tcW w:type="dxa" w:w="997"/>
          </w:tcPr>
          <w:p>
            <w:r/>
            <w:r>
              <w:rPr>
                <w:sz w:val="15"/>
              </w:rPr>
              <w:t>1 175</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bearing (M) (million trees)</w:t>
            </w:r>
          </w:p>
        </w:tc>
        <w:tc>
          <w:tcPr>
            <w:tcW w:type="dxa" w:w="997"/>
          </w:tcPr>
          <w:p>
            <w:r/>
            <w:r>
              <w:rPr>
                <w:sz w:val="15"/>
              </w:rPr>
              <w:t>1 160</w:t>
            </w:r>
          </w:p>
        </w:tc>
        <w:tc>
          <w:tcPr>
            <w:tcW w:type="dxa" w:w="997"/>
          </w:tcPr>
          <w:p>
            <w:r/>
            <w:r>
              <w:rPr>
                <w:sz w:val="15"/>
              </w:rPr>
              <w:t>1 160</w:t>
            </w:r>
          </w:p>
        </w:tc>
        <w:tc>
          <w:tcPr>
            <w:tcW w:type="dxa" w:w="997"/>
          </w:tcPr>
          <w:p>
            <w:r/>
            <w:r>
              <w:rPr>
                <w:sz w:val="15"/>
              </w:rPr>
              <w:t>1 160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Arbres non-bearing (M) (million trees)</w:t>
            </w:r>
          </w:p>
        </w:tc>
        <w:tc>
          <w:tcPr>
            <w:tcW w:type="dxa" w:w="997"/>
          </w:tcPr>
          <w:p>
            <w:r/>
            <w:r>
              <w:rPr>
                <w:sz w:val="15"/>
              </w:rPr>
              <w:t>15.0</w:t>
            </w:r>
          </w:p>
        </w:tc>
        <w:tc>
          <w:tcPr>
            <w:tcW w:type="dxa" w:w="997"/>
          </w:tcPr>
          <w:p>
            <w:r/>
            <w:r>
              <w:rPr>
                <w:sz w:val="15"/>
              </w:rPr>
              <w:t>15.0</w:t>
            </w:r>
          </w:p>
        </w:tc>
        <w:tc>
          <w:tcPr>
            <w:tcW w:type="dxa" w:w="997"/>
          </w:tcPr>
          <w:p>
            <w:r/>
            <w:r>
              <w:rPr>
                <w:sz w:val="15"/>
              </w:rPr>
              <w:t>15.0</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c>
          <w:tcPr>
            <w:tcW w:type="dxa" w:w="997"/>
          </w:tcPr>
          <w:p>
            <w:r/>
            <w:r>
              <w:rPr>
                <w:sz w:val="15"/>
              </w:rPr>
              <w:t>–</w:t>
            </w:r>
          </w:p>
        </w:tc>
      </w:tr>
      <w:tr>
        <w:tc>
          <w:tcPr>
            <w:tcW w:type="dxa" w:w="997"/>
          </w:tcPr>
          <w:p>
            <w:r/>
            <w:r>
              <w:rPr>
                <w:sz w:val="15"/>
              </w:rPr>
              <w:t>Rendement (bags/ha)</w:t>
            </w:r>
          </w:p>
        </w:tc>
        <w:tc>
          <w:tcPr>
            <w:tcW w:type="dxa" w:w="997"/>
          </w:tcPr>
          <w:p>
            <w:r/>
            <w:r>
              <w:rPr>
                <w:sz w:val="15"/>
              </w:rPr>
              <w:t>8.83</w:t>
            </w:r>
          </w:p>
        </w:tc>
        <w:tc>
          <w:tcPr>
            <w:tcW w:type="dxa" w:w="997"/>
          </w:tcPr>
          <w:p>
            <w:r/>
            <w:r>
              <w:rPr>
                <w:sz w:val="15"/>
              </w:rPr>
              <w:t>8.92</w:t>
            </w:r>
          </w:p>
        </w:tc>
        <w:tc>
          <w:tcPr>
            <w:tcW w:type="dxa" w:w="997"/>
          </w:tcPr>
          <w:p>
            <w:r/>
            <w:r>
              <w:rPr>
                <w:sz w:val="15"/>
              </w:rPr>
              <w:t>8.92</w:t>
            </w:r>
          </w:p>
        </w:tc>
        <w:tc>
          <w:tcPr>
            <w:tcW w:type="dxa" w:w="997"/>
          </w:tcPr>
          <w:p>
            <w:r/>
            <w:r>
              <w:rPr>
                <w:sz w:val="15"/>
              </w:rPr>
              <w:t>8.82</w:t>
            </w:r>
          </w:p>
        </w:tc>
        <w:tc>
          <w:tcPr>
            <w:tcW w:type="dxa" w:w="997"/>
          </w:tcPr>
          <w:p>
            <w:r/>
            <w:r>
              <w:rPr>
                <w:sz w:val="15"/>
              </w:rPr>
              <w:t>8.92</w:t>
            </w:r>
          </w:p>
        </w:tc>
        <w:tc>
          <w:tcPr>
            <w:tcW w:type="dxa" w:w="997"/>
          </w:tcPr>
          <w:p>
            <w:r/>
            <w:r>
              <w:rPr>
                <w:sz w:val="15"/>
              </w:rPr>
              <w:t>6.79</w:t>
            </w:r>
          </w:p>
        </w:tc>
        <w:tc>
          <w:tcPr>
            <w:tcW w:type="dxa" w:w="997"/>
          </w:tcPr>
          <w:p>
            <w:r/>
            <w:r>
              <w:rPr>
                <w:sz w:val="15"/>
              </w:rPr>
              <w:t>8.92</w:t>
            </w:r>
          </w:p>
        </w:tc>
        <w:tc>
          <w:tcPr>
            <w:tcW w:type="dxa" w:w="997"/>
          </w:tcPr>
          <w:p>
            <w:r/>
            <w:r>
              <w:rPr>
                <w:sz w:val="15"/>
              </w:rPr>
              <w:t>10.3</w:t>
            </w:r>
          </w:p>
        </w:tc>
        <w:tc>
          <w:tcPr>
            <w:tcW w:type="dxa" w:w="997"/>
          </w:tcPr>
          <w:p>
            <w:r/>
            <w:r>
              <w:rPr>
                <w:sz w:val="15"/>
              </w:rPr>
              <w:t>9.48</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indonesi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+1.9 %/an = surface bearing +0.2 %/an + rendement +1.7 %/an (rendement implicite 8 004 → 10 308 sacs par ha bearing).</w:t>
      </w:r>
    </w:p>
    <w:p>
      <w:r>
        <w:rPr>
          <w:b w:val="0"/>
          <w:i w:val="0"/>
          <w:sz w:val="20"/>
        </w:rPr>
        <w:t>Stock d'arbres : part non-bearing (arbres jeunes, futur potentiel) 1 % en 2020/21 contre 17 % en 2004/05 (moyenne 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ARMA(0,0) du rendement s'écrit X_t = 9.053 + ε_t. Pas de tendance déterministe retenue : le rendement évolue par chocs persistants.</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2023/24</w:t>
            </w:r>
          </w:p>
        </w:tc>
        <w:tc>
          <w:tcPr>
            <w:tcW w:type="dxa" w:w="1247"/>
          </w:tcPr>
          <w:p>
            <w:r/>
            <w:r>
              <w:rPr>
                <w:sz w:val="16"/>
              </w:rPr>
              <w:t>-26.5 %</w:t>
            </w:r>
          </w:p>
        </w:tc>
        <w:tc>
          <w:tcPr>
            <w:tcW w:type="dxa" w:w="1247"/>
          </w:tcPr>
          <w:p>
            <w:r/>
            <w:r>
              <w:rPr>
                <w:sz w:val="16"/>
              </w:rPr>
              <w:t>-23.8 %</w:t>
            </w:r>
          </w:p>
        </w:tc>
        <w:tc>
          <w:tcPr>
            <w:tcW w:type="dxa" w:w="1928"/>
          </w:tcPr>
          <w:p>
            <w:r/>
            <w:r>
              <w:rPr>
                <w:sz w:val="16"/>
              </w:rPr>
              <w:t>La Niña 2022/23 (-1.0)</w:t>
            </w:r>
          </w:p>
        </w:tc>
        <w:tc>
          <w:tcPr>
            <w:tcW w:type="dxa" w:w="4082"/>
          </w:tcPr>
          <w:p>
            <w:r/>
            <w:r>
              <w:rPr>
                <w:sz w:val="16"/>
              </w:rPr>
              <w:t>rebond 9,3 M sacs puis 11,0 M en 2024/25 (bonne floraison après le temps sec de 2023)</w:t>
            </w:r>
          </w:p>
        </w:tc>
      </w:tr>
      <w:tr>
        <w:tc>
          <w:tcPr>
            <w:tcW w:type="dxa" w:w="1134"/>
          </w:tcPr>
          <w:p>
            <w:r/>
            <w:r>
              <w:rPr>
                <w:sz w:val="16"/>
              </w:rPr>
              <w:t>2011/12</w:t>
            </w:r>
          </w:p>
        </w:tc>
        <w:tc>
          <w:tcPr>
            <w:tcW w:type="dxa" w:w="1247"/>
          </w:tcPr>
          <w:p>
            <w:r/>
            <w:r>
              <w:rPr>
                <w:sz w:val="16"/>
              </w:rPr>
              <w:t>-21.5 %</w:t>
            </w:r>
          </w:p>
        </w:tc>
        <w:tc>
          <w:tcPr>
            <w:tcW w:type="dxa" w:w="1247"/>
          </w:tcPr>
          <w:p>
            <w:r/>
            <w:r>
              <w:rPr>
                <w:sz w:val="16"/>
              </w:rPr>
              <w:t>-9.8 %</w:t>
            </w:r>
          </w:p>
        </w:tc>
        <w:tc>
          <w:tcPr>
            <w:tcW w:type="dxa" w:w="1928"/>
          </w:tcPr>
          <w:p>
            <w:r/>
            <w:r>
              <w:rPr>
                <w:sz w:val="16"/>
              </w:rPr>
              <w:t>La Niña 2010/11 (-1.6)</w:t>
            </w:r>
          </w:p>
        </w:tc>
        <w:tc>
          <w:tcPr>
            <w:tcW w:type="dxa" w:w="4082"/>
          </w:tcPr>
          <w:p>
            <w:r/>
            <w:r>
              <w:rPr>
                <w:sz w:val="16"/>
              </w:rPr>
            </w:r>
          </w:p>
        </w:tc>
      </w:tr>
      <w:tr>
        <w:tc>
          <w:tcPr>
            <w:tcW w:type="dxa" w:w="1134"/>
          </w:tcPr>
          <w:p>
            <w:r/>
            <w:r>
              <w:rPr>
                <w:sz w:val="16"/>
              </w:rPr>
              <w:t>2007/08</w:t>
            </w:r>
          </w:p>
        </w:tc>
        <w:tc>
          <w:tcPr>
            <w:tcW w:type="dxa" w:w="1247"/>
          </w:tcPr>
          <w:p>
            <w:r/>
            <w:r>
              <w:rPr>
                <w:sz w:val="16"/>
              </w:rPr>
              <w:t>-14.1 %</w:t>
            </w:r>
          </w:p>
        </w:tc>
        <w:tc>
          <w:tcPr>
            <w:tcW w:type="dxa" w:w="1247"/>
          </w:tcPr>
          <w:p>
            <w:r/>
            <w:r>
              <w:rPr>
                <w:sz w:val="16"/>
              </w:rPr>
              <w:t>-0.9 %</w:t>
            </w:r>
          </w:p>
        </w:tc>
        <w:tc>
          <w:tcPr>
            <w:tcW w:type="dxa" w:w="1928"/>
          </w:tcPr>
          <w:p>
            <w:r/>
            <w:r>
              <w:rPr>
                <w:sz w:val="16"/>
              </w:rPr>
              <w:t>El Niño 2006/07 (+0.9)</w:t>
            </w:r>
          </w:p>
        </w:tc>
        <w:tc>
          <w:tcPr>
            <w:tcW w:type="dxa" w:w="4082"/>
          </w:tcPr>
          <w:p>
            <w:r/>
            <w:r>
              <w:rPr>
                <w:sz w:val="16"/>
              </w:rPr>
            </w:r>
          </w:p>
        </w:tc>
      </w:tr>
      <w:tr>
        <w:tc>
          <w:tcPr>
            <w:tcW w:type="dxa" w:w="1134"/>
          </w:tcPr>
          <w:p>
            <w:r/>
            <w:r>
              <w:rPr>
                <w:sz w:val="16"/>
              </w:rPr>
              <w:t>2006/07</w:t>
            </w:r>
          </w:p>
        </w:tc>
        <w:tc>
          <w:tcPr>
            <w:tcW w:type="dxa" w:w="1247"/>
          </w:tcPr>
          <w:p>
            <w:r/>
            <w:r>
              <w:rPr>
                <w:sz w:val="16"/>
              </w:rPr>
              <w:t>-14.0 %</w:t>
            </w:r>
          </w:p>
        </w:tc>
        <w:tc>
          <w:tcPr>
            <w:tcW w:type="dxa" w:w="1247"/>
          </w:tcPr>
          <w:p>
            <w:r/>
            <w:r>
              <w:rPr>
                <w:sz w:val="16"/>
              </w:rPr>
              <w:t>-25.8 %</w:t>
            </w:r>
          </w:p>
        </w:tc>
        <w:tc>
          <w:tcPr>
            <w:tcW w:type="dxa" w:w="1928"/>
          </w:tcPr>
          <w:p>
            <w:r/>
            <w:r>
              <w:rPr>
                <w:sz w:val="16"/>
              </w:rPr>
              <w:t>La Niña 2005/06 (-0.9)</w:t>
            </w:r>
          </w:p>
        </w:tc>
        <w:tc>
          <w:tcPr>
            <w:tcW w:type="dxa" w:w="4082"/>
          </w:tcPr>
          <w:p>
            <w:r/>
            <w:r>
              <w:rPr>
                <w:sz w:val="16"/>
              </w:rPr>
            </w:r>
          </w:p>
        </w:tc>
      </w:tr>
      <w:tr>
        <w:tc>
          <w:tcPr>
            <w:tcW w:type="dxa" w:w="1134"/>
          </w:tcPr>
          <w:p>
            <w:r/>
            <w:r>
              <w:rPr>
                <w:sz w:val="16"/>
              </w:rPr>
              <w:t>2005/06</w:t>
            </w:r>
          </w:p>
        </w:tc>
        <w:tc>
          <w:tcPr>
            <w:tcW w:type="dxa" w:w="1247"/>
          </w:tcPr>
          <w:p>
            <w:r/>
            <w:r>
              <w:rPr>
                <w:sz w:val="16"/>
              </w:rPr>
              <w:t>+31.9 %</w:t>
            </w:r>
          </w:p>
        </w:tc>
        <w:tc>
          <w:tcPr>
            <w:tcW w:type="dxa" w:w="1247"/>
          </w:tcPr>
          <w:p>
            <w:r/>
            <w:r>
              <w:rPr>
                <w:sz w:val="16"/>
              </w:rPr>
              <w:t>+25.4 %</w:t>
            </w:r>
          </w:p>
        </w:tc>
        <w:tc>
          <w:tcPr>
            <w:tcW w:type="dxa" w:w="1928"/>
          </w:tcPr>
          <w:p>
            <w:r/>
            <w:r>
              <w:rPr>
                <w:sz w:val="16"/>
              </w:rPr>
              <w:t>El Niño 2004/05 (+0.7)</w:t>
            </w:r>
          </w:p>
        </w:tc>
        <w:tc>
          <w:tcPr>
            <w:tcW w:type="dxa" w:w="4082"/>
          </w:tcPr>
          <w:p>
            <w:r/>
            <w:r>
              <w:rPr>
                <w:sz w:val="16"/>
              </w:rPr>
            </w:r>
          </w:p>
        </w:tc>
      </w:tr>
      <w:tr>
        <w:tc>
          <w:tcPr>
            <w:tcW w:type="dxa" w:w="1134"/>
          </w:tcPr>
          <w:p>
            <w:r/>
            <w:r>
              <w:rPr>
                <w:sz w:val="16"/>
              </w:rPr>
              <w:t>2008/09</w:t>
            </w:r>
          </w:p>
        </w:tc>
        <w:tc>
          <w:tcPr>
            <w:tcW w:type="dxa" w:w="1247"/>
          </w:tcPr>
          <w:p>
            <w:r/>
            <w:r>
              <w:rPr>
                <w:sz w:val="16"/>
              </w:rPr>
              <w:t>+25.0 %</w:t>
            </w:r>
          </w:p>
        </w:tc>
        <w:tc>
          <w:tcPr>
            <w:tcW w:type="dxa" w:w="1247"/>
          </w:tcPr>
          <w:p>
            <w:r/>
            <w:r>
              <w:rPr>
                <w:sz w:val="16"/>
              </w:rPr>
              <w:t>+25.0 %</w:t>
            </w:r>
          </w:p>
        </w:tc>
        <w:tc>
          <w:tcPr>
            <w:tcW w:type="dxa" w:w="1928"/>
          </w:tcPr>
          <w:p>
            <w:r/>
            <w:r>
              <w:rPr>
                <w:sz w:val="16"/>
              </w:rPr>
              <w:t>La Niña 2007/08 (-1.6)</w:t>
            </w:r>
          </w:p>
        </w:tc>
        <w:tc>
          <w:tcPr>
            <w:tcW w:type="dxa" w:w="4082"/>
          </w:tcPr>
          <w:p>
            <w:r/>
            <w:r>
              <w:rPr>
                <w:sz w:val="16"/>
              </w:rPr>
            </w:r>
          </w:p>
        </w:tc>
      </w:tr>
      <w:tr>
        <w:tc>
          <w:tcPr>
            <w:tcW w:type="dxa" w:w="1134"/>
          </w:tcPr>
          <w:p>
            <w:r/>
            <w:r>
              <w:rPr>
                <w:sz w:val="16"/>
              </w:rPr>
              <w:t>2012/13</w:t>
            </w:r>
          </w:p>
        </w:tc>
        <w:tc>
          <w:tcPr>
            <w:tcW w:type="dxa" w:w="1247"/>
          </w:tcPr>
          <w:p>
            <w:r/>
            <w:r>
              <w:rPr>
                <w:sz w:val="16"/>
              </w:rPr>
              <w:t>+19.1 %</w:t>
            </w:r>
          </w:p>
        </w:tc>
        <w:tc>
          <w:tcPr>
            <w:tcW w:type="dxa" w:w="1247"/>
          </w:tcPr>
          <w:p>
            <w:r/>
            <w:r>
              <w:rPr>
                <w:sz w:val="16"/>
              </w:rPr>
              <w:t>+39.7 %</w:t>
            </w:r>
          </w:p>
        </w:tc>
        <w:tc>
          <w:tcPr>
            <w:tcW w:type="dxa" w:w="1928"/>
          </w:tcPr>
          <w:p>
            <w:r/>
            <w:r>
              <w:rPr>
                <w:sz w:val="16"/>
              </w:rPr>
              <w:t>La Niña 2011/12 (-1.1)</w:t>
            </w:r>
          </w:p>
        </w:tc>
        <w:tc>
          <w:tcPr>
            <w:tcW w:type="dxa" w:w="4082"/>
          </w:tcPr>
          <w:p>
            <w:r/>
            <w:r>
              <w:rPr>
                <w:sz w:val="16"/>
              </w:rPr>
            </w:r>
          </w:p>
        </w:tc>
      </w:tr>
    </w:tbl>
    <w:p/>
    <w:p>
      <w:r>
        <w:rPr>
          <w:b w:val="0"/>
          <w:i w:val="0"/>
          <w:sz w:val="20"/>
        </w:rPr>
        <w:t>Sur 20 campagnes, 8 ont une production sous la moyenne de leurs voisines ; écart-type des écarts 13.4 %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l'Indonésie est l'une des régions les plus sensibles à l'ENSO. El Niño = saison sèche prolongée, retard de la mousson, feux de forêt et brume (1997, 2015, 2019, 2023) ; La Niña = pluies excédentaires, inondations, saison des pluies allongée. Pour le robusta de Sumatra, une saison sèche marquée mais pas extrême favorise une floraison groupée (léger effet positif d'un El Niño faible), un El Niño fort réduit la nouaison et le remplissage (récolte suivante en baisse) ; La Niña gêne la floraison, la récolte et le séchage (2022 : robusta à 6,8 M sacs).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indonesia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-4.1 %</w:t>
            </w:r>
          </w:p>
        </w:tc>
        <w:tc>
          <w:tcPr>
            <w:tcW w:type="dxa" w:w="1134"/>
          </w:tcPr>
          <w:p>
            <w:r/>
            <w:r>
              <w:rPr>
                <w:sz w:val="15"/>
              </w:rPr>
              <w:t>67 %</w:t>
            </w:r>
          </w:p>
        </w:tc>
        <w:tc>
          <w:tcPr>
            <w:tcW w:type="dxa" w:w="1361"/>
          </w:tcPr>
          <w:p>
            <w:r/>
            <w:r>
              <w:rPr>
                <w:sz w:val="15"/>
              </w:rPr>
              <w:t>-2.7 %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+2.6 %</w:t>
            </w:r>
          </w:p>
        </w:tc>
        <w:tc>
          <w:tcPr>
            <w:tcW w:type="dxa" w:w="1134"/>
          </w:tcPr>
          <w:p>
            <w:r/>
            <w:r>
              <w:rPr>
                <w:sz w:val="15"/>
              </w:rPr>
              <w:t>43 %</w:t>
            </w:r>
          </w:p>
        </w:tc>
        <w:tc>
          <w:tcPr>
            <w:tcW w:type="dxa" w:w="1361"/>
          </w:tcPr>
          <w:p>
            <w:r/>
            <w:r>
              <w:rPr>
                <w:sz w:val="15"/>
              </w:rPr>
              <w:t>+1.1 %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3</w:t>
            </w:r>
          </w:p>
        </w:tc>
        <w:tc>
          <w:tcPr>
            <w:tcW w:type="dxa" w:w="1361"/>
          </w:tcPr>
          <w:p>
            <w:r/>
            <w:r>
              <w:rPr>
                <w:sz w:val="15"/>
              </w:rPr>
              <w:t>+0.0 %</w:t>
            </w:r>
          </w:p>
        </w:tc>
        <w:tc>
          <w:tcPr>
            <w:tcW w:type="dxa" w:w="1134"/>
          </w:tcPr>
          <w:p>
            <w:r/>
            <w:r>
              <w:rPr>
                <w:sz w:val="15"/>
              </w:rPr>
              <w:t>33 %</w:t>
            </w:r>
          </w:p>
        </w:tc>
        <w:tc>
          <w:tcPr>
            <w:tcW w:type="dxa" w:w="1361"/>
          </w:tcPr>
          <w:p>
            <w:r/>
            <w:r>
              <w:rPr>
                <w:sz w:val="15"/>
              </w:rPr>
              <w:t>+0.6 %</w:t>
            </w:r>
          </w:p>
        </w:tc>
        <w:tc>
          <w:tcPr>
            <w:tcW w:type="dxa" w:w="3402"/>
          </w:tcPr>
          <w:p>
            <w:r/>
            <w:r>
              <w:rPr>
                <w:sz w:val="15"/>
              </w:rPr>
              <w:t>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-0.9 %</w:t>
            </w:r>
          </w:p>
        </w:tc>
        <w:tc>
          <w:tcPr>
            <w:tcW w:type="dxa" w:w="1134"/>
          </w:tcPr>
          <w:p>
            <w:r/>
            <w:r>
              <w:rPr>
                <w:sz w:val="15"/>
              </w:rPr>
              <w:t>50 %</w:t>
            </w:r>
          </w:p>
        </w:tc>
        <w:tc>
          <w:tcPr>
            <w:tcW w:type="dxa" w:w="1361"/>
          </w:tcPr>
          <w:p>
            <w:r/>
            <w:r>
              <w:rPr>
                <w:sz w:val="15"/>
              </w:rPr>
              <w:t>-0.9 %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+1.1 %</w:t>
            </w:r>
          </w:p>
        </w:tc>
        <w:tc>
          <w:tcPr>
            <w:tcW w:type="dxa" w:w="1134"/>
          </w:tcPr>
          <w:p>
            <w:r/>
            <w:r>
              <w:rPr>
                <w:sz w:val="15"/>
              </w:rPr>
              <w:t>43 %</w:t>
            </w:r>
          </w:p>
        </w:tc>
        <w:tc>
          <w:tcPr>
            <w:tcW w:type="dxa" w:w="1361"/>
          </w:tcPr>
          <w:p>
            <w:r/>
            <w:r>
              <w:rPr>
                <w:sz w:val="15"/>
              </w:rPr>
              <w:t>-1.0 %</w:t>
            </w:r>
          </w:p>
        </w:tc>
        <w:tc>
          <w:tcPr>
            <w:tcW w:type="dxa" w:w="3402"/>
          </w:tcPr>
          <w:p>
            <w:r/>
            <w:r>
              <w:rPr>
                <w:sz w:val="15"/>
              </w:rPr>
              <w:t>2008/09 2011/12 2012/13 2018/19 2021/22 2022/23 2023/24</w:t>
            </w:r>
          </w:p>
        </w:tc>
      </w:tr>
    </w:tbl>
    <w:p/>
    <w:p>
      <w:r>
        <w:rPr>
          <w:b w:val="0"/>
          <w:i w:val="0"/>
          <w:sz w:val="20"/>
        </w:rPr>
        <w:t>Lecture : pour Indonésie, El Niño est historiquement positif pour le rendement (+2.6 %) et La Niña neutre (-0.9 %).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11 461 ; avec l'effet El Niño moyen (+1.1 %) : 11 581 ; avec l'effet des El Niño forts (-2.7 %) : 11 147 (milliers de sacs).</w:t>
      </w:r>
    </w:p>
    <w:p>
      <w:pPr>
        <w:pStyle w:val="Heading1"/>
      </w:pPr>
      <w:r>
        <w:t>7. Prévision</w:t>
      </w:r>
    </w:p>
    <w:p>
      <w:r>
        <w:rPr>
          <w:b w:val="0"/>
          <w:i w:val="0"/>
          <w:sz w:val="20"/>
        </w:rPr>
        <w:t>Modèle ARMA retenu pour Production Total : ARMA(0,0) + tendance, équation X_t = 8967 + 103.9·t + ε_t. Backtest sur les 3 dernières campagnes : erreur moyenne 5.0 % contre 28.8 %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11 461</w:t>
            </w:r>
          </w:p>
        </w:tc>
        <w:tc>
          <w:tcPr>
            <w:tcW w:type="dxa" w:w="2268"/>
          </w:tcPr>
          <w:p>
            <w:r/>
            <w:r>
              <w:rPr>
                <w:sz w:val="17"/>
              </w:rPr>
              <w:t>9 998 – 12 923</w:t>
            </w:r>
          </w:p>
        </w:tc>
        <w:tc>
          <w:tcPr>
            <w:tcW w:type="dxa" w:w="2268"/>
          </w:tcPr>
          <w:p>
            <w:r/>
            <w:r>
              <w:rPr>
                <w:sz w:val="17"/>
              </w:rPr>
              <w:t>9 224 – 13 697</w:t>
            </w:r>
          </w:p>
        </w:tc>
      </w:tr>
      <w:tr>
        <w:tc>
          <w:tcPr>
            <w:tcW w:type="dxa" w:w="1701"/>
          </w:tcPr>
          <w:p>
            <w:r/>
            <w:r>
              <w:rPr>
                <w:sz w:val="17"/>
              </w:rPr>
              <w:t>2028/29</w:t>
            </w:r>
          </w:p>
        </w:tc>
        <w:tc>
          <w:tcPr>
            <w:tcW w:type="dxa" w:w="1701"/>
          </w:tcPr>
          <w:p>
            <w:r/>
            <w:r>
              <w:rPr>
                <w:sz w:val="17"/>
              </w:rPr>
              <w:t>11 565</w:t>
            </w:r>
          </w:p>
        </w:tc>
        <w:tc>
          <w:tcPr>
            <w:tcW w:type="dxa" w:w="2268"/>
          </w:tcPr>
          <w:p>
            <w:r/>
            <w:r>
              <w:rPr>
                <w:sz w:val="17"/>
              </w:rPr>
              <w:t>10 102 – 13 027</w:t>
            </w:r>
          </w:p>
        </w:tc>
        <w:tc>
          <w:tcPr>
            <w:tcW w:type="dxa" w:w="2268"/>
          </w:tcPr>
          <w:p>
            <w:r/>
            <w:r>
              <w:rPr>
                <w:sz w:val="17"/>
              </w:rPr>
              <w:t>9 328 – 13 801</w:t>
            </w:r>
          </w:p>
        </w:tc>
      </w:tr>
      <w:tr>
        <w:tc>
          <w:tcPr>
            <w:tcW w:type="dxa" w:w="1701"/>
          </w:tcPr>
          <w:p>
            <w:r/>
            <w:r>
              <w:rPr>
                <w:sz w:val="17"/>
              </w:rPr>
              <w:t>2029/30</w:t>
            </w:r>
          </w:p>
        </w:tc>
        <w:tc>
          <w:tcPr>
            <w:tcW w:type="dxa" w:w="1701"/>
          </w:tcPr>
          <w:p>
            <w:r/>
            <w:r>
              <w:rPr>
                <w:sz w:val="17"/>
              </w:rPr>
              <w:t>11 669</w:t>
            </w:r>
          </w:p>
        </w:tc>
        <w:tc>
          <w:tcPr>
            <w:tcW w:type="dxa" w:w="2268"/>
          </w:tcPr>
          <w:p>
            <w:r/>
            <w:r>
              <w:rPr>
                <w:sz w:val="17"/>
              </w:rPr>
              <w:t>10 206 – 13 131</w:t>
            </w:r>
          </w:p>
        </w:tc>
        <w:tc>
          <w:tcPr>
            <w:tcW w:type="dxa" w:w="2268"/>
          </w:tcPr>
          <w:p>
            <w:r/>
            <w:r>
              <w:rPr>
                <w:sz w:val="17"/>
              </w:rPr>
              <w:t>9 432 – 13 905</w:t>
            </w:r>
          </w:p>
        </w:tc>
      </w:tr>
      <w:tr>
        <w:tc>
          <w:tcPr>
            <w:tcW w:type="dxa" w:w="1701"/>
          </w:tcPr>
          <w:p>
            <w:r/>
            <w:r>
              <w:rPr>
                <w:sz w:val="17"/>
              </w:rPr>
              <w:t>2030/31</w:t>
            </w:r>
          </w:p>
        </w:tc>
        <w:tc>
          <w:tcPr>
            <w:tcW w:type="dxa" w:w="1701"/>
          </w:tcPr>
          <w:p>
            <w:r/>
            <w:r>
              <w:rPr>
                <w:sz w:val="17"/>
              </w:rPr>
              <w:t>11 773</w:t>
            </w:r>
          </w:p>
        </w:tc>
        <w:tc>
          <w:tcPr>
            <w:tcW w:type="dxa" w:w="2268"/>
          </w:tcPr>
          <w:p>
            <w:r/>
            <w:r>
              <w:rPr>
                <w:sz w:val="17"/>
              </w:rPr>
              <w:t>10 310 – 13 235</w:t>
            </w:r>
          </w:p>
        </w:tc>
        <w:tc>
          <w:tcPr>
            <w:tcW w:type="dxa" w:w="2268"/>
          </w:tcPr>
          <w:p>
            <w:r/>
            <w:r>
              <w:rPr>
                <w:sz w:val="17"/>
              </w:rPr>
              <w:t>9 536 – 14 009</w:t>
            </w:r>
          </w:p>
        </w:tc>
      </w:tr>
      <w:tr>
        <w:tc>
          <w:tcPr>
            <w:tcW w:type="dxa" w:w="1701"/>
          </w:tcPr>
          <w:p>
            <w:r/>
            <w:r>
              <w:rPr>
                <w:sz w:val="17"/>
              </w:rPr>
              <w:t>2031/32</w:t>
            </w:r>
          </w:p>
        </w:tc>
        <w:tc>
          <w:tcPr>
            <w:tcW w:type="dxa" w:w="1701"/>
          </w:tcPr>
          <w:p>
            <w:r/>
            <w:r>
              <w:rPr>
                <w:sz w:val="17"/>
              </w:rPr>
              <w:t>11 876</w:t>
            </w:r>
          </w:p>
        </w:tc>
        <w:tc>
          <w:tcPr>
            <w:tcW w:type="dxa" w:w="2268"/>
          </w:tcPr>
          <w:p>
            <w:r/>
            <w:r>
              <w:rPr>
                <w:sz w:val="17"/>
              </w:rPr>
              <w:t>10 414 – 13 339</w:t>
            </w:r>
          </w:p>
        </w:tc>
        <w:tc>
          <w:tcPr>
            <w:tcW w:type="dxa" w:w="2268"/>
          </w:tcPr>
          <w:p>
            <w:r/>
            <w:r>
              <w:rPr>
                <w:sz w:val="17"/>
              </w:rPr>
              <w:t>9 640 – 14 113</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Indonesia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