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NOAA CPC episode list reproduced from memory (peak ONI approximate); drop the CPC table in data/oni.csv to replace it.</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-3.5 % (3 campagnes, 100 % sous la moyenne). La Niña : +3.0 % (10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(-0.8)</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neutre 2019/20 (+0.5)</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(-0.2)</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(-1.3)</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-3.5 %</w:t>
            </w:r>
          </w:p>
        </w:tc>
        <w:tc>
          <w:tcPr>
            <w:tcW w:type="dxa" w:w="1134"/>
          </w:tcPr>
          <w:p>
            <w:r/>
            <w:r>
              <w:rPr>
                <w:sz w:val="15"/>
              </w:rPr>
              <w:t>100 %</w:t>
            </w:r>
          </w:p>
        </w:tc>
        <w:tc>
          <w:tcPr>
            <w:tcW w:type="dxa" w:w="1361"/>
          </w:tcPr>
          <w:p>
            <w:r/>
            <w:r>
              <w:rPr>
                <w:sz w:val="15"/>
              </w:rPr>
              <w:t>-5.7 %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-3.6 %</w:t>
            </w:r>
          </w:p>
        </w:tc>
        <w:tc>
          <w:tcPr>
            <w:tcW w:type="dxa" w:w="1134"/>
          </w:tcPr>
          <w:p>
            <w:r/>
            <w:r>
              <w:rPr>
                <w:sz w:val="15"/>
              </w:rPr>
              <w:t>75 %</w:t>
            </w:r>
          </w:p>
        </w:tc>
        <w:tc>
          <w:tcPr>
            <w:tcW w:type="dxa" w:w="1361"/>
          </w:tcPr>
          <w:p>
            <w:r/>
            <w:r>
              <w:rPr>
                <w:sz w:val="15"/>
              </w:rPr>
              <w:t>-4.0 %</w:t>
            </w:r>
          </w:p>
        </w:tc>
        <w:tc>
          <w:tcPr>
            <w:tcW w:type="dxa" w:w="3402"/>
          </w:tcPr>
          <w:p>
            <w:r/>
            <w:r>
              <w:rPr>
                <w:sz w:val="15"/>
              </w:rPr>
              <w:t>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+3.0 %</w:t>
            </w:r>
          </w:p>
        </w:tc>
        <w:tc>
          <w:tcPr>
            <w:tcW w:type="dxa" w:w="1134"/>
          </w:tcPr>
          <w:p>
            <w:r/>
            <w:r>
              <w:rPr>
                <w:sz w:val="15"/>
              </w:rPr>
              <w:t>40 %</w:t>
            </w:r>
          </w:p>
        </w:tc>
        <w:tc>
          <w:tcPr>
            <w:tcW w:type="dxa" w:w="1361"/>
          </w:tcPr>
          <w:p>
            <w:r/>
            <w:r>
              <w:rPr>
                <w:sz w:val="15"/>
              </w:rPr>
              <w:t>+4.8 %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+0.8 %</w:t>
            </w:r>
          </w:p>
        </w:tc>
        <w:tc>
          <w:tcPr>
            <w:tcW w:type="dxa" w:w="1134"/>
          </w:tcPr>
          <w:p>
            <w:r/>
            <w:r>
              <w:rPr>
                <w:sz w:val="15"/>
              </w:rPr>
              <w:t>43 %</w:t>
            </w:r>
          </w:p>
        </w:tc>
        <w:tc>
          <w:tcPr>
            <w:tcW w:type="dxa" w:w="1361"/>
          </w:tcPr>
          <w:p>
            <w:r/>
            <w:r>
              <w:rPr>
                <w:sz w:val="15"/>
              </w:rPr>
              <w:t>+5.6 %</w:t>
            </w:r>
          </w:p>
        </w:tc>
        <w:tc>
          <w:tcPr>
            <w:tcW w:type="dxa" w:w="3402"/>
          </w:tcPr>
          <w:p>
            <w:r/>
            <w:r>
              <w:rPr>
                <w:sz w:val="15"/>
              </w:rPr>
              <w:t>2008/09 2011/12 2012/13 2018/19 2021/22 2022/23 2023/24</w:t>
            </w:r>
          </w:p>
        </w:tc>
      </w:tr>
    </w:tbl>
    <w:p/>
    <w:p>
      <w:r>
        <w:rPr>
          <w:b w:val="0"/>
          <w:i w:val="0"/>
          <w:sz w:val="20"/>
        </w:rPr>
        <w:t>Lecture : pour Vietnam, El Niño est historiquement négatif pour le rendement (-3.2 %)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(-5.7 %) : 31 356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