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Qu'est-ce qui définit le prix du café ?</w:t>
      </w:r>
    </w:p>
    <w:p>
      <w:pPr>
        <w:pStyle w:val="Subtitle"/>
      </w:pPr>
      <w:r>
        <w:t xml:space="preserve">Recherche quantitative : production, consommation et stock-to-use, pays par pays · USDA PSD (juillet 2026), prix ICE via l'ICO · 2010/11 → 2026/27</w:t>
      </w:r>
    </w:p>
    <w:p>
      <w:pPr>
        <w:pStyle w:val="Heading1"/>
        <w:keepNext/>
      </w:pPr>
      <w:r>
        <w:t xml:space="preserve">La réponse</w:t>
      </w:r>
    </w:p>
    <w:p>
      <w:r>
        <w:t xml:space="preserve">Votre hypothèse : le stock-to-use (STU, stocks de fin ÷ utilisation) définit le prix. Les données USDA 2010-2026 vont dans ce sens, mais elles ne permettent pas de le démontrer : 16 campagnes et un seul cycle complet (stocks hauts et prix bas en 2012-2020, stocks bas et prix hauts en 2021-2025). Ce rapport sépare ce qui est solide de ce qui ne l'est pas.</w:t>
      </w:r>
    </w:p>
    <w:p>
      <w:pPr>
        <w:pStyle w:val="Heading2"/>
        <w:keepNext/>
      </w:pPr>
      <w:r>
        <w:t xml:space="preserve">Ce qui est solide</w:t>
      </w:r>
    </w:p>
    <w:p>
      <w:pPr>
        <w:pStyle w:val="ListBullet"/>
        <w:numPr>
          <w:ilvl w:val="0"/>
          <w:numId w:val="1"/>
        </w:numPr>
      </w:pPr>
      <w:r>
        <w:rPr>
          <w:b/>
        </w:rPr>
        <w:t xml:space="preserve">Le prix et le STU vont en sens inverse sur le cycle. </w:t>
      </w:r>
      <w:r>
        <w:t xml:space="preserve">STU mondial contre ln(prix) : r = −0,63 pour le KC, −0,72 pour le DF. Les seules campagnes où le STU mondial est passé sous 8 % (2023/24 à 2025/26 : 7,5 %, 6,9 % et 7,6 %) sont celles des prix les plus hauts de la période (DF record dès 2023/24, KC record en 2024/25). La prévision USDA pour 2026/27 (7,8 %) reste dans cette zone.</w:t>
      </w:r>
    </w:p>
    <w:p>
      <w:pPr>
        <w:pStyle w:val="ListBullet"/>
        <w:numPr>
          <w:ilvl w:val="0"/>
          <w:numId w:val="1"/>
        </w:numPr>
      </w:pPr>
      <w:r>
        <w:rPr>
          <w:b/>
        </w:rPr>
        <w:t xml:space="preserve">Les à-coups annuels du STU viennent des récoltes, et d'abord de l'arabica brésilien. </w:t>
      </w:r>
      <w:r>
        <w:t xml:space="preserve">Il fait 44 % des variations annuelles du STU mondial et arrive premier dans 90 % des tirages bootstrap. Le conilon brésilien suit (environ 14 %). Les autres postes (Indonésie, Vietnam, Amérique centrale, Éthiopie, Ouganda, Colombie, consommations apparentes de l'UE et de l'Asie) pèsent chacun 10 % ou moins et ne peuvent pas être classés entre eux. Environ un tiers des écarts de l'arabica brésilien est son cycle biennal, prévisible (environ 4,8 M sacs entre année haute et année basse).</w:t>
      </w:r>
    </w:p>
    <w:p>
      <w:pPr>
        <w:pStyle w:val="ListBullet"/>
        <w:numPr>
          <w:ilvl w:val="0"/>
          <w:numId w:val="1"/>
        </w:numPr>
      </w:pPr>
      <w:r>
        <w:rPr>
          <w:b/>
        </w:rPr>
        <w:t xml:space="preserve">La consommation monte plus vite que la production. </w:t>
      </w:r>
      <w:r>
        <w:t xml:space="preserve">Tendances 2010/11-2025/26 : consommation +2,37 M sacs par an, production +2,03. Le solde tendanciel du bilan est passé de +1,8 M sacs en 2010/11 à −2,3 M en 2025/26 (négatif depuis 2017/18). C'est cette pente lente, plus que les à-coups des récoltes, qui accompagne le niveau du prix sur 15 ans (r = −0,89 avec ln KC). Cela rejoint votre intuition : une consommation qui monte plus vite que l'offre use le STU.</w:t>
      </w:r>
    </w:p>
    <w:p>
      <w:pPr>
        <w:pStyle w:val="ListBullet"/>
        <w:numPr>
          <w:ilvl w:val="0"/>
          <w:numId w:val="1"/>
        </w:numPr>
      </w:pPr>
      <w:r>
        <w:rPr>
          <w:b/>
        </w:rPr>
        <w:t xml:space="preserve">Robusta : le conilon brésilien est le premier moteur. </w:t>
      </w:r>
      <w:r>
        <w:t xml:space="preserve">Depuis 2011/12, il fait l'essentiel de la croissance de l'offre robusta (+0,75 M sacs par an, contre +0,22 pour le Vietnam) et 53 % de ses à-coups (Vietnam 26 %, Indonésie 19 %), même si le Vietnam reste le premier producteur en volume. Les récoltes du Vietnam et du conilon ne se suivent pas.</w:t>
      </w:r>
    </w:p>
    <w:p>
      <w:pPr>
        <w:pStyle w:val="ListBullet"/>
        <w:numPr>
          <w:ilvl w:val="0"/>
          <w:numId w:val="1"/>
        </w:numPr>
      </w:pPr>
      <w:r>
        <w:rPr>
          <w:b/>
        </w:rPr>
        <w:t xml:space="preserve">KC et DF bougent ensemble, mais ce ne sont pas des jumeaux. </w:t>
      </w:r>
      <w:r>
        <w:t xml:space="preserve">Corrélation des variations mensuelles : 0,70 (0,78 depuis 2021), contre 0,97 à 0,99 entre arabicas. Le lien vient du marché (substitution dans les mélanges, Brésil, dollar, fonds), pas de récoltes synchronisées. Le ratio KC/DF (1,87 en août 2026, moyenne 1,82) s'écarte quand une seule espèce subit un choc. Aucun des deux marchés ne mène l'autre.</w:t>
      </w:r>
    </w:p>
    <w:p>
      <w:pPr>
        <w:pStyle w:val="Heading2"/>
        <w:keepNext/>
      </w:pPr>
      <w:r>
        <w:t xml:space="preserve">Ce qui n'est pas démontré</w:t>
      </w:r>
    </w:p>
    <w:p>
      <w:pPr>
        <w:pStyle w:val="ListBullet"/>
        <w:numPr>
          <w:ilvl w:val="0"/>
          <w:numId w:val="1"/>
        </w:numPr>
      </w:pPr>
      <w:r>
        <w:rPr>
          <w:b/>
        </w:rPr>
        <w:t xml:space="preserve">Que le STU définisse le prix. </w:t>
      </w:r>
      <w:r>
        <w:t xml:space="preserve">Corrigé de l'autocorrélation (16 campagnes très liées entre elles), le lien de niveau n'est pas significatif (p = 0,13 à 0,41 pour les STU mondial, des importateurs, de l'UE et des producteurs). Sans 2023/24-2025/26, aucune de ces mesures ne prévoit le prix hors échantillon (une seule exception, fragile : le STU américain pour le KC). D'une année sur l'autre, les variations du STU ne suivent pas celles du prix.</w:t>
      </w:r>
    </w:p>
    <w:p>
      <w:pPr>
        <w:pStyle w:val="ListBullet"/>
        <w:numPr>
          <w:ilvl w:val="0"/>
          <w:numId w:val="1"/>
        </w:numPr>
      </w:pPr>
      <w:r>
        <w:rPr>
          <w:b/>
        </w:rPr>
        <w:t xml:space="preserve">Que le STU des importateurs soit un moteur. </w:t>
      </w:r>
      <w:r>
        <w:t xml:space="preserve">C'est lui qui colle le mieux au niveau du prix, mais il réagit au prix : il baisse l'année qui suit une hausse (r = −0,75 avec le KC, p = 0,002 ; −0,68 avec le DF) et ne la précède pas. Les stocks européens se vident quand le café est cher. C'est un thermomètre, pas une cause.</w:t>
      </w:r>
    </w:p>
    <w:p>
      <w:pPr>
        <w:pStyle w:val="ListBullet"/>
        <w:numPr>
          <w:ilvl w:val="0"/>
          <w:numId w:val="1"/>
        </w:numPr>
      </w:pPr>
      <w:r>
        <w:rPr>
          <w:b/>
        </w:rPr>
        <w:t xml:space="preserve">Qu'un pays « mène » le prix. </w:t>
      </w:r>
      <w:r>
        <w:t xml:space="preserve">Sur 88 corrélations annuelles testées (récoltes et consommations, pays par pays, contre le KC et le DF), 6 sont significatives à 5 %, pour 4,4 attendues par hasard ; aucune ne résiste à une correction pour tests multiples. Le lien du DF avec la récolte robusta (r = −0,62) disparaît si l'on cale les récoltes sur leurs dates (−0,13). Pour le KC, l'écart à la tendance de la récolte brésilienne qui se forme donne r = −0,55 (p = 0,03) : un indice, pas une preuve.</w:t>
      </w:r>
    </w:p>
    <w:p>
      <w:pPr>
        <w:pStyle w:val="ListBullet"/>
        <w:numPr>
          <w:ilvl w:val="0"/>
          <w:numId w:val="1"/>
        </w:numPr>
      </w:pPr>
      <w:r>
        <w:rPr>
          <w:b/>
        </w:rPr>
        <w:t xml:space="preserve">Que la crise 2021-2025 soit seulement un manque de récolte. </w:t>
      </w:r>
      <w:r>
        <w:t xml:space="preserve">Les stocks mondiaux ont baissé quatre ans de suite (−15,5 M sacs), mais la production n'a été inférieure à la consommation qu'en 2021/22 et 2022/23. La baisse de 2022/23 est surtout un déstockage européen (−4,7 M sacs) ; celles de 2023/24 et 2024/25 viennent d'un écart statistique (exportations enregistrées supérieures aux importations). La production a calé (elle aurait dû gagner environ 8 M sacs entre les deux périodes, elle en a perdu 1,4) pendant que la consommation continuait de monter (+5,3 M sacs, deux fois moins vite que sa tendance) : les deux ont compté.</w:t>
      </w:r>
    </w:p>
    <w:p>
      <w:pPr>
        <w:pStyle w:val="Heading2"/>
        <w:keepNext/>
      </w:pPr>
      <w:r>
        <w:t xml:space="preserve">Ce qu'il faut surveiller</w:t>
      </w:r>
    </w:p>
    <w:p>
      <w:pPr>
        <w:pStyle w:val="ListBullet"/>
        <w:numPr>
          <w:ilvl w:val="0"/>
          <w:numId w:val="1"/>
        </w:numPr>
      </w:pPr>
      <w:r>
        <w:t xml:space="preserve">La récolte brésilienne d'arabica en formation (floraison de septembre à novembre, pluies d'octobre à mars, gel de juin à août) : premier moteur des à-coups du STU. Tenir compte du cycle biennal : après une année haute, une année basse est attendue.</w:t>
      </w:r>
    </w:p>
    <w:p>
      <w:pPr>
        <w:pStyle w:val="ListBullet"/>
        <w:numPr>
          <w:ilvl w:val="0"/>
          <w:numId w:val="1"/>
        </w:numPr>
      </w:pPr>
      <w:r>
        <w:t xml:space="preserve">Le conilon brésilien, puis le Vietnam et l'Indonésie, pour le robusta.</w:t>
      </w:r>
    </w:p>
    <w:p>
      <w:pPr>
        <w:pStyle w:val="ListBullet"/>
        <w:numPr>
          <w:ilvl w:val="0"/>
          <w:numId w:val="1"/>
        </w:numPr>
      </w:pPr>
      <w:r>
        <w:t xml:space="preserve">La pente : la production mondiale doit gagner environ 2,3 à 2,4 M sacs par an, au rythme de la consommation, pour que le STU ne baisse pas.</w:t>
      </w:r>
    </w:p>
    <w:p>
      <w:pPr>
        <w:pStyle w:val="ListBullet"/>
        <w:numPr>
          <w:ilvl w:val="0"/>
          <w:numId w:val="1"/>
        </w:numPr>
      </w:pPr>
      <w:r>
        <w:t xml:space="preserve">Les prévisions (USDA, CONAB, ICO) au moment où elles sortent : le marché réagit au bilan anticipé, alors que cette étude utilise des chiffres révisés après coup.</w:t>
      </w:r>
    </w:p>
    <w:p>
      <w:pPr>
        <w:pStyle w:val="ListBullet"/>
        <w:numPr>
          <w:ilvl w:val="0"/>
          <w:numId w:val="1"/>
        </w:numPr>
      </w:pPr>
      <w:r>
        <w:t xml:space="preserve">Les stocks des importateurs (UE, stocks certifiés) : un thermomètre de la réaction du marché, pas un signal avancé.</w:t>
      </w:r>
    </w:p>
    <w:p>
      <w:pPr>
        <w:pStyle w:val="ListBullet"/>
        <w:numPr>
          <w:ilvl w:val="0"/>
          <w:numId w:val="1"/>
        </w:numPr>
      </w:pPr>
      <w:r>
        <w:t xml:space="preserve">Le ratio KC/DF pour l'écart entre les deux marchés (section 8).</w:t>
      </w:r>
    </w:p>
    <w:p>
      <w:r>
        <w:br w:type="page"/>
      </w:r>
    </w:p>
    <w:p>
      <w:pPr>
        <w:pStyle w:val="Heading1"/>
        <w:keepNext/>
      </w:pPr>
      <w:r>
        <w:t xml:space="preserve">1. Le stock-to-use définit-il le prix ?</w:t>
      </w:r>
    </w:p>
    <w:p>
      <w:pPr>
        <w:pStyle w:val="Figure"/>
        <w:keepNext/>
      </w:pPr>
      <w:r>
        <w:drawing>
          <wp:inline distT="0" distB="0" distL="0" distR="0">
            <wp:extent cx="5940000" cy="2585849"/>
            <wp:docPr id="1" name="Graphique 1"/>
            <wp:cNvGraphicFramePr>
              <a:graphicFrameLocks noChangeAspect="1"/>
            </wp:cNvGraphicFramePr>
            <a:graphic>
              <a:graphicData uri="http://schemas.openxmlformats.org/drawingml/2006/picture">
                <pic:pic>
                  <pic:nvPicPr>
                    <pic:cNvPr id="1" name="graphique1.png"/>
                    <pic:cNvPicPr/>
                  </pic:nvPicPr>
                  <pic:blipFill>
                    <a:blip r:embed="rIdImg1"/>
                    <a:stretch>
                      <a:fillRect/>
                    </a:stretch>
                  </pic:blipFill>
                  <pic:spPr>
                    <a:xfrm>
                      <a:off x="0" y="0"/>
                      <a:ext cx="5940000" cy="2585849"/>
                    </a:xfrm>
                    <a:prstGeom prst="rect">
                      <a:avLst/>
                    </a:prstGeom>
                  </pic:spPr>
                </pic:pic>
              </a:graphicData>
            </a:graphic>
          </wp:inline>
        </w:drawing>
      </w:r>
    </w:p>
    <w:p>
      <w:pPr>
        <w:pStyle w:val="Caption"/>
      </w:pPr>
      <w:r>
        <w:t xml:space="preserve">Graphique 1 — R² en validation croisée (on retire chaque campagne à tour de rôle et on la prévoit avec les autres), sur 2010/11-2025/26 et sans 2023/24-2025/26. 0 = aucun pouvoir explicatif ; négatif = pire qu'une simple moyenne.</w:t>
      </w:r>
    </w:p>
    <w:tbl>
      <w:tblPr>
        <w:tblStyle w:val="Grille"/>
        <w:tblW w:w="96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70" w:type="dxa"/>
          <w:right w:w="70" w:type="dxa"/>
        </w:tblCellMar>
      </w:tblPr>
      <w:tblGrid>
        <w:gridCol w:w="2500"/>
        <w:gridCol w:w="850"/>
        <w:gridCol w:w="1000"/>
        <w:gridCol w:w="1700"/>
        <w:gridCol w:w="850"/>
        <w:gridCol w:w="1000"/>
        <w:gridCol w:w="1700"/>
      </w:tblGrid>
      <w:tr>
        <w:trPr>
          <w:tblHeader/>
        </w:trPr>
        <w:tc>
          <w:tcPr>
            <w:tcW w:w="2500" w:type="dxa"/>
            <w:shd w:val="clear" w:color="auto" w:fill="1F3864"/>
            <w:vAlign w:val="center"/>
          </w:tcPr>
          <w:p>
            <w:pPr>
              <w:spacing w:before="20" w:after="20"/>
              <w:jc w:val="center"/>
            </w:pPr>
            <w:r>
              <w:rPr>
                <w:b/>
                <w:color w:val="FFFFFF"/>
                <w:sz w:val="15"/>
                <w:szCs w:val="15"/>
              </w:rPr>
              <w:t xml:space="preserve">STU</w:t>
            </w:r>
          </w:p>
        </w:tc>
        <w:tc>
          <w:tcPr>
            <w:tcW w:w="850" w:type="dxa"/>
            <w:shd w:val="clear" w:color="auto" w:fill="1F3864"/>
            <w:vAlign w:val="center"/>
          </w:tcPr>
          <w:p>
            <w:pPr>
              <w:spacing w:before="20" w:after="20"/>
              <w:jc w:val="center"/>
            </w:pPr>
            <w:r>
              <w:rPr>
                <w:b/>
                <w:color w:val="FFFFFF"/>
                <w:sz w:val="15"/>
                <w:szCs w:val="15"/>
              </w:rPr>
              <w:t xml:space="preserve">KC : r</w:t>
            </w:r>
          </w:p>
        </w:tc>
        <w:tc>
          <w:tcPr>
            <w:tcW w:w="1000" w:type="dxa"/>
            <w:shd w:val="clear" w:color="auto" w:fill="1F3864"/>
            <w:vAlign w:val="center"/>
          </w:tcPr>
          <w:p>
            <w:pPr>
              <w:spacing w:before="20" w:after="20"/>
              <w:jc w:val="center"/>
            </w:pPr>
            <w:r>
              <w:rPr>
                <w:b/>
                <w:color w:val="FFFFFF"/>
                <w:sz w:val="15"/>
                <w:szCs w:val="15"/>
              </w:rPr>
              <w:t xml:space="preserve">KC : p corrigé</w:t>
            </w:r>
          </w:p>
        </w:tc>
        <w:tc>
          <w:tcPr>
            <w:tcW w:w="1700" w:type="dxa"/>
            <w:shd w:val="clear" w:color="auto" w:fill="1F3864"/>
            <w:vAlign w:val="center"/>
          </w:tcPr>
          <w:p>
            <w:pPr>
              <w:spacing w:before="20" w:after="20"/>
              <w:jc w:val="center"/>
            </w:pPr>
            <w:r>
              <w:rPr>
                <w:b/>
                <w:color w:val="FFFFFF"/>
                <w:sz w:val="15"/>
                <w:szCs w:val="15"/>
              </w:rPr>
              <w:t xml:space="preserve">KC : R² validé (tout / sans 2023-26)</w:t>
            </w:r>
          </w:p>
        </w:tc>
        <w:tc>
          <w:tcPr>
            <w:tcW w:w="850" w:type="dxa"/>
            <w:shd w:val="clear" w:color="auto" w:fill="1F3864"/>
            <w:vAlign w:val="center"/>
          </w:tcPr>
          <w:p>
            <w:pPr>
              <w:spacing w:before="20" w:after="20"/>
              <w:jc w:val="center"/>
            </w:pPr>
            <w:r>
              <w:rPr>
                <w:b/>
                <w:color w:val="FFFFFF"/>
                <w:sz w:val="15"/>
                <w:szCs w:val="15"/>
              </w:rPr>
              <w:t xml:space="preserve">DF : r</w:t>
            </w:r>
          </w:p>
        </w:tc>
        <w:tc>
          <w:tcPr>
            <w:tcW w:w="1000" w:type="dxa"/>
            <w:shd w:val="clear" w:color="auto" w:fill="1F3864"/>
            <w:vAlign w:val="center"/>
          </w:tcPr>
          <w:p>
            <w:pPr>
              <w:spacing w:before="20" w:after="20"/>
              <w:jc w:val="center"/>
            </w:pPr>
            <w:r>
              <w:rPr>
                <w:b/>
                <w:color w:val="FFFFFF"/>
                <w:sz w:val="15"/>
                <w:szCs w:val="15"/>
              </w:rPr>
              <w:t xml:space="preserve">DF : p corrigé</w:t>
            </w:r>
          </w:p>
        </w:tc>
        <w:tc>
          <w:tcPr>
            <w:tcW w:w="1700" w:type="dxa"/>
            <w:shd w:val="clear" w:color="auto" w:fill="1F3864"/>
            <w:vAlign w:val="center"/>
          </w:tcPr>
          <w:p>
            <w:pPr>
              <w:spacing w:before="20" w:after="20"/>
              <w:jc w:val="center"/>
            </w:pPr>
            <w:r>
              <w:rPr>
                <w:b/>
                <w:color w:val="FFFFFF"/>
                <w:sz w:val="15"/>
                <w:szCs w:val="15"/>
              </w:rPr>
              <w:t xml:space="preserve">DF : R² validé (tout / sans 2023-26)</w:t>
            </w:r>
          </w:p>
        </w:tc>
      </w:tr>
      <w:tr>
        <w:trPr>
          <w:cantSplit/>
        </w:trPr>
        <w:tc>
          <w:tcPr>
            <w:tcW w:w="2500" w:type="dxa"/>
            <w:vAlign w:val="center"/>
          </w:tcPr>
          <w:p>
            <w:pPr>
              <w:spacing w:before="20" w:after="20"/>
              <w:jc w:val="left"/>
            </w:pPr>
            <w:r>
              <w:rPr>
                <w:b/>
                <w:sz w:val="15"/>
                <w:szCs w:val="15"/>
              </w:rPr>
              <w:t xml:space="preserve">Importateurs (stocks ÷ conso)</w:t>
            </w:r>
          </w:p>
        </w:tc>
        <w:tc>
          <w:tcPr>
            <w:tcW w:w="850" w:type="dxa"/>
            <w:vAlign w:val="center"/>
          </w:tcPr>
          <w:p>
            <w:pPr>
              <w:spacing w:before="20" w:after="20"/>
              <w:jc w:val="right"/>
            </w:pPr>
            <w:r>
              <w:rPr>
                <w:sz w:val="15"/>
                <w:szCs w:val="15"/>
              </w:rPr>
              <w:t xml:space="preserve">−0,72</w:t>
            </w:r>
          </w:p>
        </w:tc>
        <w:tc>
          <w:tcPr>
            <w:tcW w:w="1000" w:type="dxa"/>
            <w:vAlign w:val="center"/>
          </w:tcPr>
          <w:p>
            <w:pPr>
              <w:spacing w:before="20" w:after="20"/>
              <w:jc w:val="right"/>
            </w:pPr>
            <w:r>
              <w:rPr>
                <w:sz w:val="15"/>
                <w:szCs w:val="15"/>
              </w:rPr>
              <w:t xml:space="preserve">0,19</w:t>
            </w:r>
          </w:p>
        </w:tc>
        <w:tc>
          <w:tcPr>
            <w:tcW w:w="1700" w:type="dxa"/>
            <w:vAlign w:val="center"/>
          </w:tcPr>
          <w:p>
            <w:pPr>
              <w:spacing w:before="20" w:after="20"/>
              <w:jc w:val="right"/>
            </w:pPr>
            <w:r>
              <w:rPr>
                <w:sz w:val="15"/>
                <w:szCs w:val="15"/>
              </w:rPr>
              <w:t xml:space="preserve">0,41 / −0,17</w:t>
            </w:r>
          </w:p>
        </w:tc>
        <w:tc>
          <w:tcPr>
            <w:tcW w:w="850" w:type="dxa"/>
            <w:vAlign w:val="center"/>
          </w:tcPr>
          <w:p>
            <w:pPr>
              <w:spacing w:before="20" w:after="20"/>
              <w:jc w:val="right"/>
            </w:pPr>
            <w:r>
              <w:rPr>
                <w:sz w:val="15"/>
                <w:szCs w:val="15"/>
              </w:rPr>
              <w:t xml:space="preserve">−0,84</w:t>
            </w:r>
          </w:p>
        </w:tc>
        <w:tc>
          <w:tcPr>
            <w:tcW w:w="1000" w:type="dxa"/>
            <w:vAlign w:val="center"/>
          </w:tcPr>
          <w:p>
            <w:pPr>
              <w:spacing w:before="20" w:after="20"/>
              <w:jc w:val="right"/>
            </w:pPr>
            <w:r>
              <w:rPr>
                <w:sz w:val="15"/>
                <w:szCs w:val="15"/>
              </w:rPr>
              <w:t xml:space="preserve">0,20</w:t>
            </w:r>
          </w:p>
        </w:tc>
        <w:tc>
          <w:tcPr>
            <w:tcW w:w="1700" w:type="dxa"/>
            <w:vAlign w:val="center"/>
          </w:tcPr>
          <w:p>
            <w:pPr>
              <w:spacing w:before="20" w:after="20"/>
              <w:jc w:val="right"/>
            </w:pPr>
            <w:r>
              <w:rPr>
                <w:sz w:val="15"/>
                <w:szCs w:val="15"/>
              </w:rPr>
              <w:t xml:space="preserve">0,64 / −0,02</w:t>
            </w:r>
          </w:p>
        </w:tc>
      </w:tr>
      <w:tr>
        <w:trPr>
          <w:cantSplit/>
        </w:trPr>
        <w:tc>
          <w:tcPr>
            <w:tcW w:w="2500" w:type="dxa"/>
            <w:shd w:val="clear" w:color="auto" w:fill="F2F4F7"/>
            <w:vAlign w:val="center"/>
          </w:tcPr>
          <w:p>
            <w:pPr>
              <w:spacing w:before="20" w:after="20"/>
              <w:jc w:val="left"/>
            </w:pPr>
            <w:r>
              <w:rPr>
                <w:b/>
                <w:sz w:val="15"/>
                <w:szCs w:val="15"/>
              </w:rPr>
              <w:t xml:space="preserve">UE + Royaume-Uni</w:t>
            </w:r>
          </w:p>
        </w:tc>
        <w:tc>
          <w:tcPr>
            <w:tcW w:w="850" w:type="dxa"/>
            <w:shd w:val="clear" w:color="auto" w:fill="F2F4F7"/>
            <w:vAlign w:val="center"/>
          </w:tcPr>
          <w:p>
            <w:pPr>
              <w:spacing w:before="20" w:after="20"/>
              <w:jc w:val="right"/>
            </w:pPr>
            <w:r>
              <w:rPr>
                <w:sz w:val="15"/>
                <w:szCs w:val="15"/>
              </w:rPr>
              <w:t xml:space="preserve">−0,66</w:t>
            </w:r>
          </w:p>
        </w:tc>
        <w:tc>
          <w:tcPr>
            <w:tcW w:w="1000" w:type="dxa"/>
            <w:shd w:val="clear" w:color="auto" w:fill="F2F4F7"/>
            <w:vAlign w:val="center"/>
          </w:tcPr>
          <w:p>
            <w:pPr>
              <w:spacing w:before="20" w:after="20"/>
              <w:jc w:val="right"/>
            </w:pPr>
            <w:r>
              <w:rPr>
                <w:sz w:val="15"/>
                <w:szCs w:val="15"/>
              </w:rPr>
              <w:t xml:space="preserve">0,19</w:t>
            </w:r>
          </w:p>
        </w:tc>
        <w:tc>
          <w:tcPr>
            <w:tcW w:w="1700" w:type="dxa"/>
            <w:shd w:val="clear" w:color="auto" w:fill="F2F4F7"/>
            <w:vAlign w:val="center"/>
          </w:tcPr>
          <w:p>
            <w:pPr>
              <w:spacing w:before="20" w:after="20"/>
              <w:jc w:val="right"/>
            </w:pPr>
            <w:r>
              <w:rPr>
                <w:sz w:val="15"/>
                <w:szCs w:val="15"/>
              </w:rPr>
              <w:t xml:space="preserve">0,33 / −0,21</w:t>
            </w:r>
          </w:p>
        </w:tc>
        <w:tc>
          <w:tcPr>
            <w:tcW w:w="850" w:type="dxa"/>
            <w:shd w:val="clear" w:color="auto" w:fill="F2F4F7"/>
            <w:vAlign w:val="center"/>
          </w:tcPr>
          <w:p>
            <w:pPr>
              <w:spacing w:before="20" w:after="20"/>
              <w:jc w:val="right"/>
            </w:pPr>
            <w:r>
              <w:rPr>
                <w:sz w:val="15"/>
                <w:szCs w:val="15"/>
              </w:rPr>
              <w:t xml:space="preserve">−0,81</w:t>
            </w:r>
          </w:p>
        </w:tc>
        <w:tc>
          <w:tcPr>
            <w:tcW w:w="1000" w:type="dxa"/>
            <w:shd w:val="clear" w:color="auto" w:fill="F2F4F7"/>
            <w:vAlign w:val="center"/>
          </w:tcPr>
          <w:p>
            <w:pPr>
              <w:spacing w:before="20" w:after="20"/>
              <w:jc w:val="right"/>
            </w:pPr>
            <w:r>
              <w:rPr>
                <w:sz w:val="15"/>
                <w:szCs w:val="15"/>
              </w:rPr>
              <w:t xml:space="preserve">0,13</w:t>
            </w:r>
          </w:p>
        </w:tc>
        <w:tc>
          <w:tcPr>
            <w:tcW w:w="1700" w:type="dxa"/>
            <w:shd w:val="clear" w:color="auto" w:fill="F2F4F7"/>
            <w:vAlign w:val="center"/>
          </w:tcPr>
          <w:p>
            <w:pPr>
              <w:spacing w:before="20" w:after="20"/>
              <w:jc w:val="right"/>
            </w:pPr>
            <w:r>
              <w:rPr>
                <w:sz w:val="15"/>
                <w:szCs w:val="15"/>
              </w:rPr>
              <w:t xml:space="preserve">0,59 / −0,02</w:t>
            </w:r>
          </w:p>
        </w:tc>
      </w:tr>
      <w:tr>
        <w:trPr>
          <w:cantSplit/>
        </w:trPr>
        <w:tc>
          <w:tcPr>
            <w:tcW w:w="2500" w:type="dxa"/>
            <w:vAlign w:val="center"/>
          </w:tcPr>
          <w:p>
            <w:pPr>
              <w:spacing w:before="20" w:after="20"/>
              <w:jc w:val="left"/>
            </w:pPr>
            <w:r>
              <w:rPr>
                <w:b/>
                <w:sz w:val="15"/>
                <w:szCs w:val="15"/>
              </w:rPr>
              <w:t xml:space="preserve">Monde</w:t>
            </w:r>
          </w:p>
        </w:tc>
        <w:tc>
          <w:tcPr>
            <w:tcW w:w="850" w:type="dxa"/>
            <w:vAlign w:val="center"/>
          </w:tcPr>
          <w:p>
            <w:pPr>
              <w:spacing w:before="20" w:after="20"/>
              <w:jc w:val="right"/>
            </w:pPr>
            <w:r>
              <w:rPr>
                <w:sz w:val="15"/>
                <w:szCs w:val="15"/>
              </w:rPr>
              <w:t xml:space="preserve">−0,63</w:t>
            </w:r>
          </w:p>
        </w:tc>
        <w:tc>
          <w:tcPr>
            <w:tcW w:w="1000" w:type="dxa"/>
            <w:vAlign w:val="center"/>
          </w:tcPr>
          <w:p>
            <w:pPr>
              <w:spacing w:before="20" w:after="20"/>
              <w:jc w:val="right"/>
            </w:pPr>
            <w:r>
              <w:rPr>
                <w:sz w:val="15"/>
                <w:szCs w:val="15"/>
              </w:rPr>
              <w:t xml:space="preserve">0,29</w:t>
            </w:r>
          </w:p>
        </w:tc>
        <w:tc>
          <w:tcPr>
            <w:tcW w:w="1700" w:type="dxa"/>
            <w:vAlign w:val="center"/>
          </w:tcPr>
          <w:p>
            <w:pPr>
              <w:spacing w:before="20" w:after="20"/>
              <w:jc w:val="right"/>
            </w:pPr>
            <w:r>
              <w:rPr>
                <w:sz w:val="15"/>
                <w:szCs w:val="15"/>
              </w:rPr>
              <w:t xml:space="preserve">0,37 / −0,15</w:t>
            </w:r>
          </w:p>
        </w:tc>
        <w:tc>
          <w:tcPr>
            <w:tcW w:w="850" w:type="dxa"/>
            <w:vAlign w:val="center"/>
          </w:tcPr>
          <w:p>
            <w:pPr>
              <w:spacing w:before="20" w:after="20"/>
              <w:jc w:val="right"/>
            </w:pPr>
            <w:r>
              <w:rPr>
                <w:sz w:val="15"/>
                <w:szCs w:val="15"/>
              </w:rPr>
              <w:t xml:space="preserve">−0,72</w:t>
            </w:r>
          </w:p>
        </w:tc>
        <w:tc>
          <w:tcPr>
            <w:tcW w:w="1000" w:type="dxa"/>
            <w:vAlign w:val="center"/>
          </w:tcPr>
          <w:p>
            <w:pPr>
              <w:spacing w:before="20" w:after="20"/>
              <w:jc w:val="right"/>
            </w:pPr>
            <w:r>
              <w:rPr>
                <w:sz w:val="15"/>
                <w:szCs w:val="15"/>
              </w:rPr>
              <w:t xml:space="preserve">0,33</w:t>
            </w:r>
          </w:p>
        </w:tc>
        <w:tc>
          <w:tcPr>
            <w:tcW w:w="1700" w:type="dxa"/>
            <w:vAlign w:val="center"/>
          </w:tcPr>
          <w:p>
            <w:pPr>
              <w:spacing w:before="20" w:after="20"/>
              <w:jc w:val="right"/>
            </w:pPr>
            <w:r>
              <w:rPr>
                <w:sz w:val="15"/>
                <w:szCs w:val="15"/>
              </w:rPr>
              <w:t xml:space="preserve">0,61 / −0,17</w:t>
            </w:r>
          </w:p>
        </w:tc>
      </w:tr>
      <w:tr>
        <w:trPr>
          <w:cantSplit/>
        </w:trPr>
        <w:tc>
          <w:tcPr>
            <w:tcW w:w="2500" w:type="dxa"/>
            <w:shd w:val="clear" w:color="auto" w:fill="F2F4F7"/>
            <w:vAlign w:val="center"/>
          </w:tcPr>
          <w:p>
            <w:pPr>
              <w:spacing w:before="20" w:after="20"/>
              <w:jc w:val="left"/>
            </w:pPr>
            <w:r>
              <w:rPr>
                <w:b/>
                <w:sz w:val="15"/>
                <w:szCs w:val="15"/>
              </w:rPr>
              <w:t xml:space="preserve">États-Unis</w:t>
            </w:r>
          </w:p>
        </w:tc>
        <w:tc>
          <w:tcPr>
            <w:tcW w:w="850" w:type="dxa"/>
            <w:shd w:val="clear" w:color="auto" w:fill="F2F4F7"/>
            <w:vAlign w:val="center"/>
          </w:tcPr>
          <w:p>
            <w:pPr>
              <w:spacing w:before="20" w:after="20"/>
              <w:jc w:val="right"/>
            </w:pPr>
            <w:r>
              <w:rPr>
                <w:sz w:val="15"/>
                <w:szCs w:val="15"/>
              </w:rPr>
              <w:t xml:space="preserve">−0,70</w:t>
            </w:r>
          </w:p>
        </w:tc>
        <w:tc>
          <w:tcPr>
            <w:tcW w:w="1000" w:type="dxa"/>
            <w:shd w:val="clear" w:color="auto" w:fill="F2F4F7"/>
            <w:vAlign w:val="center"/>
          </w:tcPr>
          <w:p>
            <w:pPr>
              <w:spacing w:before="20" w:after="20"/>
              <w:jc w:val="right"/>
            </w:pPr>
            <w:r>
              <w:rPr>
                <w:sz w:val="15"/>
                <w:szCs w:val="15"/>
              </w:rPr>
              <w:t xml:space="preserve">0,06</w:t>
            </w:r>
          </w:p>
        </w:tc>
        <w:tc>
          <w:tcPr>
            <w:tcW w:w="1700" w:type="dxa"/>
            <w:shd w:val="clear" w:color="auto" w:fill="F2F4F7"/>
            <w:vAlign w:val="center"/>
          </w:tcPr>
          <w:p>
            <w:pPr>
              <w:spacing w:before="20" w:after="20"/>
              <w:jc w:val="right"/>
            </w:pPr>
            <w:r>
              <w:rPr>
                <w:sz w:val="15"/>
                <w:szCs w:val="15"/>
              </w:rPr>
              <w:t xml:space="preserve">0,36 / 0,28</w:t>
            </w:r>
          </w:p>
        </w:tc>
        <w:tc>
          <w:tcPr>
            <w:tcW w:w="850" w:type="dxa"/>
            <w:shd w:val="clear" w:color="auto" w:fill="F2F4F7"/>
            <w:vAlign w:val="center"/>
          </w:tcPr>
          <w:p>
            <w:pPr>
              <w:spacing w:before="20" w:after="20"/>
              <w:jc w:val="right"/>
            </w:pPr>
            <w:r>
              <w:rPr>
                <w:sz w:val="15"/>
                <w:szCs w:val="15"/>
              </w:rPr>
              <w:t xml:space="preserve">−0,45</w:t>
            </w:r>
          </w:p>
        </w:tc>
        <w:tc>
          <w:tcPr>
            <w:tcW w:w="1000" w:type="dxa"/>
            <w:shd w:val="clear" w:color="auto" w:fill="F2F4F7"/>
            <w:vAlign w:val="center"/>
          </w:tcPr>
          <w:p>
            <w:pPr>
              <w:spacing w:before="20" w:after="20"/>
              <w:jc w:val="right"/>
            </w:pPr>
            <w:r>
              <w:rPr>
                <w:sz w:val="15"/>
                <w:szCs w:val="15"/>
              </w:rPr>
              <w:t xml:space="preserve">0,33</w:t>
            </w:r>
          </w:p>
        </w:tc>
        <w:tc>
          <w:tcPr>
            <w:tcW w:w="1700" w:type="dxa"/>
            <w:shd w:val="clear" w:color="auto" w:fill="F2F4F7"/>
            <w:vAlign w:val="center"/>
          </w:tcPr>
          <w:p>
            <w:pPr>
              <w:spacing w:before="20" w:after="20"/>
              <w:jc w:val="right"/>
            </w:pPr>
            <w:r>
              <w:rPr>
                <w:sz w:val="15"/>
                <w:szCs w:val="15"/>
              </w:rPr>
              <w:t xml:space="preserve">−0,07 / −0,24</w:t>
            </w:r>
          </w:p>
        </w:tc>
      </w:tr>
      <w:tr>
        <w:trPr>
          <w:cantSplit/>
        </w:trPr>
        <w:tc>
          <w:tcPr>
            <w:tcW w:w="2500" w:type="dxa"/>
            <w:vAlign w:val="center"/>
          </w:tcPr>
          <w:p>
            <w:pPr>
              <w:spacing w:before="20" w:after="20"/>
              <w:jc w:val="left"/>
            </w:pPr>
            <w:r>
              <w:rPr>
                <w:b/>
                <w:sz w:val="15"/>
                <w:szCs w:val="15"/>
              </w:rPr>
              <w:t xml:space="preserve">Certifiés New York</w:t>
            </w:r>
          </w:p>
        </w:tc>
        <w:tc>
          <w:tcPr>
            <w:tcW w:w="850" w:type="dxa"/>
            <w:vAlign w:val="center"/>
          </w:tcPr>
          <w:p>
            <w:pPr>
              <w:spacing w:before="20" w:after="20"/>
              <w:jc w:val="right"/>
            </w:pPr>
            <w:r>
              <w:rPr>
                <w:sz w:val="15"/>
                <w:szCs w:val="15"/>
              </w:rPr>
              <w:t xml:space="preserve">−0,61</w:t>
            </w:r>
          </w:p>
        </w:tc>
        <w:tc>
          <w:tcPr>
            <w:tcW w:w="1000" w:type="dxa"/>
            <w:vAlign w:val="center"/>
          </w:tcPr>
          <w:p>
            <w:pPr>
              <w:spacing w:before="20" w:after="20"/>
              <w:jc w:val="right"/>
            </w:pPr>
            <w:r>
              <w:rPr>
                <w:sz w:val="15"/>
                <w:szCs w:val="15"/>
              </w:rPr>
              <w:t xml:space="preserve">0,30</w:t>
            </w:r>
          </w:p>
        </w:tc>
        <w:tc>
          <w:tcPr>
            <w:tcW w:w="1700" w:type="dxa"/>
            <w:vAlign w:val="center"/>
          </w:tcPr>
          <w:p>
            <w:pPr>
              <w:spacing w:before="20" w:after="20"/>
              <w:jc w:val="right"/>
            </w:pPr>
            <w:r>
              <w:rPr>
                <w:sz w:val="15"/>
                <w:szCs w:val="15"/>
              </w:rPr>
              <w:t xml:space="preserve">0,38 / −0,07</w:t>
            </w:r>
          </w:p>
        </w:tc>
        <w:tc>
          <w:tcPr>
            <w:tcW w:w="850" w:type="dxa"/>
            <w:vAlign w:val="center"/>
          </w:tcPr>
          <w:p>
            <w:pPr>
              <w:spacing w:before="20" w:after="20"/>
              <w:jc w:val="right"/>
            </w:pPr>
            <w:r>
              <w:rPr>
                <w:sz w:val="15"/>
                <w:szCs w:val="15"/>
              </w:rPr>
              <w:t xml:space="preserve">−0,57</w:t>
            </w:r>
          </w:p>
        </w:tc>
        <w:tc>
          <w:tcPr>
            <w:tcW w:w="1000" w:type="dxa"/>
            <w:vAlign w:val="center"/>
          </w:tcPr>
          <w:p>
            <w:pPr>
              <w:spacing w:before="20" w:after="20"/>
              <w:jc w:val="right"/>
            </w:pPr>
            <w:r>
              <w:rPr>
                <w:sz w:val="15"/>
                <w:szCs w:val="15"/>
              </w:rPr>
              <w:t xml:space="preserve">0,44</w:t>
            </w:r>
          </w:p>
        </w:tc>
        <w:tc>
          <w:tcPr>
            <w:tcW w:w="1700" w:type="dxa"/>
            <w:vAlign w:val="center"/>
          </w:tcPr>
          <w:p>
            <w:pPr>
              <w:spacing w:before="20" w:after="20"/>
              <w:jc w:val="right"/>
            </w:pPr>
            <w:r>
              <w:rPr>
                <w:sz w:val="15"/>
                <w:szCs w:val="15"/>
              </w:rPr>
              <w:t xml:space="preserve">0,26 / −0,07</w:t>
            </w:r>
          </w:p>
        </w:tc>
      </w:tr>
      <w:tr>
        <w:trPr>
          <w:cantSplit/>
        </w:trPr>
        <w:tc>
          <w:tcPr>
            <w:tcW w:w="2500" w:type="dxa"/>
            <w:shd w:val="clear" w:color="auto" w:fill="F2F4F7"/>
            <w:vAlign w:val="center"/>
          </w:tcPr>
          <w:p>
            <w:pPr>
              <w:spacing w:before="20" w:after="20"/>
              <w:jc w:val="left"/>
            </w:pPr>
            <w:r>
              <w:rPr>
                <w:b/>
                <w:sz w:val="15"/>
                <w:szCs w:val="15"/>
              </w:rPr>
              <w:t xml:space="preserve">Certifiés Londres</w:t>
            </w:r>
          </w:p>
        </w:tc>
        <w:tc>
          <w:tcPr>
            <w:tcW w:w="850" w:type="dxa"/>
            <w:shd w:val="clear" w:color="auto" w:fill="F2F4F7"/>
            <w:vAlign w:val="center"/>
          </w:tcPr>
          <w:p>
            <w:pPr>
              <w:spacing w:before="20" w:after="20"/>
              <w:jc w:val="right"/>
            </w:pPr>
            <w:r>
              <w:rPr>
                <w:sz w:val="15"/>
                <w:szCs w:val="15"/>
              </w:rPr>
              <w:t xml:space="preserve">−0,49</w:t>
            </w:r>
          </w:p>
        </w:tc>
        <w:tc>
          <w:tcPr>
            <w:tcW w:w="1000" w:type="dxa"/>
            <w:shd w:val="clear" w:color="auto" w:fill="F2F4F7"/>
            <w:vAlign w:val="center"/>
          </w:tcPr>
          <w:p>
            <w:pPr>
              <w:spacing w:before="20" w:after="20"/>
              <w:jc w:val="right"/>
            </w:pPr>
            <w:r>
              <w:rPr>
                <w:sz w:val="15"/>
                <w:szCs w:val="15"/>
              </w:rPr>
              <w:t xml:space="preserve">0,20</w:t>
            </w:r>
          </w:p>
        </w:tc>
        <w:tc>
          <w:tcPr>
            <w:tcW w:w="1700" w:type="dxa"/>
            <w:shd w:val="clear" w:color="auto" w:fill="F2F4F7"/>
            <w:vAlign w:val="center"/>
          </w:tcPr>
          <w:p>
            <w:pPr>
              <w:spacing w:before="20" w:after="20"/>
              <w:jc w:val="right"/>
            </w:pPr>
            <w:r>
              <w:rPr>
                <w:sz w:val="15"/>
                <w:szCs w:val="15"/>
              </w:rPr>
              <w:t xml:space="preserve">0,08 / −0,18</w:t>
            </w:r>
          </w:p>
        </w:tc>
        <w:tc>
          <w:tcPr>
            <w:tcW w:w="850" w:type="dxa"/>
            <w:shd w:val="clear" w:color="auto" w:fill="F2F4F7"/>
            <w:vAlign w:val="center"/>
          </w:tcPr>
          <w:p>
            <w:pPr>
              <w:spacing w:before="20" w:after="20"/>
              <w:jc w:val="right"/>
            </w:pPr>
            <w:r>
              <w:rPr>
                <w:sz w:val="15"/>
                <w:szCs w:val="15"/>
              </w:rPr>
              <w:t xml:space="preserve">−0,56</w:t>
            </w:r>
          </w:p>
        </w:tc>
        <w:tc>
          <w:tcPr>
            <w:tcW w:w="1000" w:type="dxa"/>
            <w:shd w:val="clear" w:color="auto" w:fill="F2F4F7"/>
            <w:vAlign w:val="center"/>
          </w:tcPr>
          <w:p>
            <w:pPr>
              <w:spacing w:before="20" w:after="20"/>
              <w:jc w:val="right"/>
            </w:pPr>
            <w:r>
              <w:rPr>
                <w:sz w:val="15"/>
                <w:szCs w:val="15"/>
              </w:rPr>
              <w:t xml:space="preserve">0,16</w:t>
            </w:r>
          </w:p>
        </w:tc>
        <w:tc>
          <w:tcPr>
            <w:tcW w:w="1700" w:type="dxa"/>
            <w:shd w:val="clear" w:color="auto" w:fill="F2F4F7"/>
            <w:vAlign w:val="center"/>
          </w:tcPr>
          <w:p>
            <w:pPr>
              <w:spacing w:before="20" w:after="20"/>
              <w:jc w:val="right"/>
            </w:pPr>
            <w:r>
              <w:rPr>
                <w:sz w:val="15"/>
                <w:szCs w:val="15"/>
              </w:rPr>
              <w:t xml:space="preserve">0,26 / −0,09</w:t>
            </w:r>
          </w:p>
        </w:tc>
      </w:tr>
      <w:tr>
        <w:trPr>
          <w:cantSplit/>
        </w:trPr>
        <w:tc>
          <w:tcPr>
            <w:tcW w:w="2500" w:type="dxa"/>
            <w:vAlign w:val="center"/>
          </w:tcPr>
          <w:p>
            <w:pPr>
              <w:spacing w:before="20" w:after="20"/>
              <w:jc w:val="left"/>
            </w:pPr>
            <w:r>
              <w:rPr>
                <w:b/>
                <w:sz w:val="15"/>
                <w:szCs w:val="15"/>
              </w:rPr>
              <w:t xml:space="preserve">Producteurs (42 origines)</w:t>
            </w:r>
          </w:p>
        </w:tc>
        <w:tc>
          <w:tcPr>
            <w:tcW w:w="850" w:type="dxa"/>
            <w:vAlign w:val="center"/>
          </w:tcPr>
          <w:p>
            <w:pPr>
              <w:spacing w:before="20" w:after="20"/>
              <w:jc w:val="right"/>
            </w:pPr>
            <w:r>
              <w:rPr>
                <w:sz w:val="15"/>
                <w:szCs w:val="15"/>
              </w:rPr>
              <w:t xml:space="preserve">−0,44</w:t>
            </w:r>
          </w:p>
        </w:tc>
        <w:tc>
          <w:tcPr>
            <w:tcW w:w="1000" w:type="dxa"/>
            <w:vAlign w:val="center"/>
          </w:tcPr>
          <w:p>
            <w:pPr>
              <w:spacing w:before="20" w:after="20"/>
              <w:jc w:val="right"/>
            </w:pPr>
            <w:r>
              <w:rPr>
                <w:sz w:val="15"/>
                <w:szCs w:val="15"/>
              </w:rPr>
              <w:t xml:space="preserve">0,39</w:t>
            </w:r>
          </w:p>
        </w:tc>
        <w:tc>
          <w:tcPr>
            <w:tcW w:w="1700" w:type="dxa"/>
            <w:vAlign w:val="center"/>
          </w:tcPr>
          <w:p>
            <w:pPr>
              <w:spacing w:before="20" w:after="20"/>
              <w:jc w:val="right"/>
            </w:pPr>
            <w:r>
              <w:rPr>
                <w:sz w:val="15"/>
                <w:szCs w:val="15"/>
              </w:rPr>
              <w:t xml:space="preserve">0,23 / −0,22</w:t>
            </w:r>
          </w:p>
        </w:tc>
        <w:tc>
          <w:tcPr>
            <w:tcW w:w="850" w:type="dxa"/>
            <w:vAlign w:val="center"/>
          </w:tcPr>
          <w:p>
            <w:pPr>
              <w:spacing w:before="20" w:after="20"/>
              <w:jc w:val="right"/>
            </w:pPr>
            <w:r>
              <w:rPr>
                <w:sz w:val="15"/>
                <w:szCs w:val="15"/>
              </w:rPr>
              <w:t xml:space="preserve">−0,49</w:t>
            </w:r>
          </w:p>
        </w:tc>
        <w:tc>
          <w:tcPr>
            <w:tcW w:w="1000" w:type="dxa"/>
            <w:vAlign w:val="center"/>
          </w:tcPr>
          <w:p>
            <w:pPr>
              <w:spacing w:before="20" w:after="20"/>
              <w:jc w:val="right"/>
            </w:pPr>
            <w:r>
              <w:rPr>
                <w:sz w:val="15"/>
                <w:szCs w:val="15"/>
              </w:rPr>
              <w:t xml:space="preserve">0,41</w:t>
            </w:r>
          </w:p>
        </w:tc>
        <w:tc>
          <w:tcPr>
            <w:tcW w:w="1700" w:type="dxa"/>
            <w:vAlign w:val="center"/>
          </w:tcPr>
          <w:p>
            <w:pPr>
              <w:spacing w:before="20" w:after="20"/>
              <w:jc w:val="right"/>
            </w:pPr>
            <w:r>
              <w:rPr>
                <w:sz w:val="15"/>
                <w:szCs w:val="15"/>
              </w:rPr>
              <w:t xml:space="preserve">0,45 / −0,23</w:t>
            </w:r>
          </w:p>
        </w:tc>
      </w:tr>
      <w:tr>
        <w:trPr>
          <w:cantSplit/>
        </w:trPr>
        <w:tc>
          <w:tcPr>
            <w:tcW w:w="2500" w:type="dxa"/>
            <w:shd w:val="clear" w:color="auto" w:fill="F2F4F7"/>
            <w:vAlign w:val="center"/>
          </w:tcPr>
          <w:p>
            <w:pPr>
              <w:spacing w:before="20" w:after="20"/>
              <w:jc w:val="left"/>
            </w:pPr>
            <w:r>
              <w:rPr>
                <w:b/>
                <w:sz w:val="15"/>
                <w:szCs w:val="15"/>
              </w:rPr>
              <w:t xml:space="preserve">Brésil</w:t>
            </w:r>
          </w:p>
        </w:tc>
        <w:tc>
          <w:tcPr>
            <w:tcW w:w="850" w:type="dxa"/>
            <w:shd w:val="clear" w:color="auto" w:fill="F2F4F7"/>
            <w:vAlign w:val="center"/>
          </w:tcPr>
          <w:p>
            <w:pPr>
              <w:spacing w:before="20" w:after="20"/>
              <w:jc w:val="right"/>
            </w:pPr>
            <w:r>
              <w:rPr>
                <w:sz w:val="15"/>
                <w:szCs w:val="15"/>
              </w:rPr>
              <w:t xml:space="preserve">−0,30</w:t>
            </w:r>
          </w:p>
        </w:tc>
        <w:tc>
          <w:tcPr>
            <w:tcW w:w="1000" w:type="dxa"/>
            <w:shd w:val="clear" w:color="auto" w:fill="F2F4F7"/>
            <w:vAlign w:val="center"/>
          </w:tcPr>
          <w:p>
            <w:pPr>
              <w:spacing w:before="20" w:after="20"/>
              <w:jc w:val="right"/>
            </w:pPr>
            <w:r>
              <w:rPr>
                <w:sz w:val="15"/>
                <w:szCs w:val="15"/>
              </w:rPr>
              <w:t xml:space="preserve">0,49</w:t>
            </w:r>
          </w:p>
        </w:tc>
        <w:tc>
          <w:tcPr>
            <w:tcW w:w="1700" w:type="dxa"/>
            <w:shd w:val="clear" w:color="auto" w:fill="F2F4F7"/>
            <w:vAlign w:val="center"/>
          </w:tcPr>
          <w:p>
            <w:pPr>
              <w:spacing w:before="20" w:after="20"/>
              <w:jc w:val="right"/>
            </w:pPr>
            <w:r>
              <w:rPr>
                <w:sz w:val="15"/>
                <w:szCs w:val="15"/>
              </w:rPr>
              <w:t xml:space="preserve">−0,13 / −0,30</w:t>
            </w:r>
          </w:p>
        </w:tc>
        <w:tc>
          <w:tcPr>
            <w:tcW w:w="850" w:type="dxa"/>
            <w:shd w:val="clear" w:color="auto" w:fill="F2F4F7"/>
            <w:vAlign w:val="center"/>
          </w:tcPr>
          <w:p>
            <w:pPr>
              <w:spacing w:before="20" w:after="20"/>
              <w:jc w:val="right"/>
            </w:pPr>
            <w:r>
              <w:rPr>
                <w:sz w:val="15"/>
                <w:szCs w:val="15"/>
              </w:rPr>
              <w:t xml:space="preserve">−0,26</w:t>
            </w:r>
          </w:p>
        </w:tc>
        <w:tc>
          <w:tcPr>
            <w:tcW w:w="1000" w:type="dxa"/>
            <w:shd w:val="clear" w:color="auto" w:fill="F2F4F7"/>
            <w:vAlign w:val="center"/>
          </w:tcPr>
          <w:p>
            <w:pPr>
              <w:spacing w:before="20" w:after="20"/>
              <w:jc w:val="right"/>
            </w:pPr>
            <w:r>
              <w:rPr>
                <w:sz w:val="15"/>
                <w:szCs w:val="15"/>
              </w:rPr>
              <w:t xml:space="preserve">0,58</w:t>
            </w:r>
          </w:p>
        </w:tc>
        <w:tc>
          <w:tcPr>
            <w:tcW w:w="1700" w:type="dxa"/>
            <w:shd w:val="clear" w:color="auto" w:fill="F2F4F7"/>
            <w:vAlign w:val="center"/>
          </w:tcPr>
          <w:p>
            <w:pPr>
              <w:spacing w:before="20" w:after="20"/>
              <w:jc w:val="right"/>
            </w:pPr>
            <w:r>
              <w:rPr>
                <w:sz w:val="15"/>
                <w:szCs w:val="15"/>
              </w:rPr>
              <w:t xml:space="preserve">−0,15 / −0,26</w:t>
            </w:r>
          </w:p>
        </w:tc>
      </w:tr>
      <w:tr>
        <w:trPr>
          <w:cantSplit/>
        </w:trPr>
        <w:tc>
          <w:tcPr>
            <w:tcW w:w="2500" w:type="dxa"/>
            <w:vAlign w:val="center"/>
          </w:tcPr>
          <w:p>
            <w:pPr>
              <w:spacing w:before="20" w:after="20"/>
              <w:jc w:val="left"/>
            </w:pPr>
            <w:r>
              <w:rPr>
                <w:b/>
                <w:sz w:val="15"/>
                <w:szCs w:val="15"/>
              </w:rPr>
              <w:t xml:space="preserve">Vietnam</w:t>
            </w:r>
          </w:p>
        </w:tc>
        <w:tc>
          <w:tcPr>
            <w:tcW w:w="850" w:type="dxa"/>
            <w:vAlign w:val="center"/>
          </w:tcPr>
          <w:p>
            <w:pPr>
              <w:spacing w:before="20" w:after="20"/>
              <w:jc w:val="right"/>
            </w:pPr>
            <w:r>
              <w:rPr>
                <w:sz w:val="15"/>
                <w:szCs w:val="15"/>
              </w:rPr>
              <w:t xml:space="preserve">−0,20</w:t>
            </w:r>
          </w:p>
        </w:tc>
        <w:tc>
          <w:tcPr>
            <w:tcW w:w="1000" w:type="dxa"/>
            <w:vAlign w:val="center"/>
          </w:tcPr>
          <w:p>
            <w:pPr>
              <w:spacing w:before="20" w:after="20"/>
              <w:jc w:val="right"/>
            </w:pPr>
            <w:r>
              <w:rPr>
                <w:sz w:val="15"/>
                <w:szCs w:val="15"/>
              </w:rPr>
              <w:t xml:space="preserve">0,58</w:t>
            </w:r>
          </w:p>
        </w:tc>
        <w:tc>
          <w:tcPr>
            <w:tcW w:w="1700" w:type="dxa"/>
            <w:vAlign w:val="center"/>
          </w:tcPr>
          <w:p>
            <w:pPr>
              <w:spacing w:before="20" w:after="20"/>
              <w:jc w:val="right"/>
            </w:pPr>
            <w:r>
              <w:rPr>
                <w:sz w:val="15"/>
                <w:szCs w:val="15"/>
              </w:rPr>
              <w:t xml:space="preserve">−0,21 / −0,10</w:t>
            </w:r>
          </w:p>
        </w:tc>
        <w:tc>
          <w:tcPr>
            <w:tcW w:w="850" w:type="dxa"/>
            <w:vAlign w:val="center"/>
          </w:tcPr>
          <w:p>
            <w:pPr>
              <w:spacing w:before="20" w:after="20"/>
              <w:jc w:val="right"/>
            </w:pPr>
            <w:r>
              <w:rPr>
                <w:sz w:val="15"/>
                <w:szCs w:val="15"/>
              </w:rPr>
              <w:t xml:space="preserve">−0,32</w:t>
            </w:r>
          </w:p>
        </w:tc>
        <w:tc>
          <w:tcPr>
            <w:tcW w:w="1000" w:type="dxa"/>
            <w:vAlign w:val="center"/>
          </w:tcPr>
          <w:p>
            <w:pPr>
              <w:spacing w:before="20" w:after="20"/>
              <w:jc w:val="right"/>
            </w:pPr>
            <w:r>
              <w:rPr>
                <w:sz w:val="15"/>
                <w:szCs w:val="15"/>
              </w:rPr>
              <w:t xml:space="preserve">0,41</w:t>
            </w:r>
          </w:p>
        </w:tc>
        <w:tc>
          <w:tcPr>
            <w:tcW w:w="1700" w:type="dxa"/>
            <w:vAlign w:val="center"/>
          </w:tcPr>
          <w:p>
            <w:pPr>
              <w:spacing w:before="20" w:after="20"/>
              <w:jc w:val="right"/>
            </w:pPr>
            <w:r>
              <w:rPr>
                <w:sz w:val="15"/>
                <w:szCs w:val="15"/>
              </w:rPr>
              <w:t xml:space="preserve">−0,24 / −0,21</w:t>
            </w:r>
          </w:p>
        </w:tc>
      </w:tr>
    </w:tbl>
    <w:p>
      <w:pPr>
        <w:spacing w:after="60"/>
      </w:pPr>
      <w:r>
        <w:t xml:space="preserve"/>
      </w:r>
    </w:p>
    <w:p>
      <w:pPr>
        <w:pStyle w:val="Note"/>
      </w:pPr>
      <w:r>
        <w:t xml:space="preserve">r = corrélation avec ln(prix), 2010/11-2025/26. p corrigé de l'autocorrélation (n effectif). R² validé : meilleure des formes linéaire et inverse (1/STU).</w:t>
      </w:r>
    </w:p>
    <w:p>
      <w:r>
        <w:t xml:space="preserve">Lecture : sur 2010-2026, quand le STU est bas, le prix est haut, quel que soit le STU choisi. Mais trois réserves changent la conclusion. (1) Il n'y a qu'un cycle : corrigées de l'autocorrélation, ces corrélations ne sont pas significatives (p = 0,13 à 0,41 pour les STU mondial, des importateurs, de l'UE et des producteurs). (2) Tout le pouvoir prédictif vient de 2023/24-2025/26 : sans ces trois campagnes, les R² validés sont négatifs partout, sauf le STU américain pour le KC (0,28). C'est une mesure parmi 13, et les stocks américains sont figés par l'USDA à 5,7 M sacs depuis 2022/23 : une piste, pas un résultat. (3) En variations annuelles, le STU mondial et le prix ne bougent pas ensemble (r = −0,13 pour le KC, −0,14 pour le DF).</w:t>
      </w:r>
    </w:p>
    <w:p>
      <w:pPr>
        <w:pStyle w:val="Figure"/>
        <w:keepNext/>
      </w:pPr>
      <w:r>
        <w:drawing>
          <wp:inline distT="0" distB="0" distL="0" distR="0">
            <wp:extent cx="5940000" cy="2585849"/>
            <wp:docPr id="2" name="Graphique 2"/>
            <wp:cNvGraphicFramePr>
              <a:graphicFrameLocks noChangeAspect="1"/>
            </wp:cNvGraphicFramePr>
            <a:graphic>
              <a:graphicData uri="http://schemas.openxmlformats.org/drawingml/2006/picture">
                <pic:pic>
                  <pic:nvPicPr>
                    <pic:cNvPr id="2" name="graphique2.png"/>
                    <pic:cNvPicPr/>
                  </pic:nvPicPr>
                  <pic:blipFill>
                    <a:blip r:embed="rIdImg2"/>
                    <a:stretch>
                      <a:fillRect/>
                    </a:stretch>
                  </pic:blipFill>
                  <pic:spPr>
                    <a:xfrm>
                      <a:off x="0" y="0"/>
                      <a:ext cx="5940000" cy="2585849"/>
                    </a:xfrm>
                    <a:prstGeom prst="rect">
                      <a:avLst/>
                    </a:prstGeom>
                  </pic:spPr>
                </pic:pic>
              </a:graphicData>
            </a:graphic>
          </wp:inline>
        </w:drawing>
      </w:r>
    </w:p>
    <w:p>
      <w:pPr>
        <w:pStyle w:val="Caption"/>
      </w:pPr>
      <w:r>
        <w:t xml:space="preserve">Graphique 2 — STU des importateurs, des producteurs (42 origines) et du monde, avec le KC1.</w:t>
      </w:r>
    </w:p>
    <w:p>
      <w:pPr>
        <w:pStyle w:val="Heading2"/>
        <w:keepNext/>
      </w:pPr>
      <w:r>
        <w:t xml:space="preserve">Qui réagit à qui ?</w:t>
      </w:r>
    </w:p>
    <w:tbl>
      <w:tblPr>
        <w:tblStyle w:val="Grille"/>
        <w:tblW w:w="98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70" w:type="dxa"/>
          <w:right w:w="70" w:type="dxa"/>
        </w:tblCellMar>
      </w:tblPr>
      <w:tblGrid>
        <w:gridCol w:w="3000"/>
        <w:gridCol w:w="2200"/>
        <w:gridCol w:w="2300"/>
        <w:gridCol w:w="2300"/>
      </w:tblGrid>
      <w:tr>
        <w:trPr>
          <w:tblHeader/>
        </w:trPr>
        <w:tc>
          <w:tcPr>
            <w:tcW w:w="3000" w:type="dxa"/>
            <w:shd w:val="clear" w:color="auto" w:fill="1F3864"/>
            <w:vAlign w:val="center"/>
          </w:tcPr>
          <w:p>
            <w:pPr>
              <w:spacing w:before="20" w:after="20"/>
              <w:jc w:val="center"/>
            </w:pPr>
            <w:r>
              <w:rPr>
                <w:b/>
                <w:color w:val="FFFFFF"/>
                <w:sz w:val="15"/>
                <w:szCs w:val="15"/>
              </w:rPr>
              <w:t xml:space="preserve">STU</w:t>
            </w:r>
          </w:p>
        </w:tc>
        <w:tc>
          <w:tcPr>
            <w:tcW w:w="2200" w:type="dxa"/>
            <w:shd w:val="clear" w:color="auto" w:fill="1F3864"/>
            <w:vAlign w:val="center"/>
          </w:tcPr>
          <w:p>
            <w:pPr>
              <w:spacing w:before="20" w:after="20"/>
              <w:jc w:val="center"/>
            </w:pPr>
            <w:r>
              <w:rPr>
                <w:b/>
                <w:color w:val="FFFFFF"/>
                <w:sz w:val="15"/>
                <w:szCs w:val="15"/>
              </w:rPr>
              <w:t xml:space="preserve">Même campagne (KC / DF)</w:t>
            </w:r>
          </w:p>
        </w:tc>
        <w:tc>
          <w:tcPr>
            <w:tcW w:w="2300" w:type="dxa"/>
            <w:shd w:val="clear" w:color="auto" w:fill="1F3864"/>
            <w:vAlign w:val="center"/>
          </w:tcPr>
          <w:p>
            <w:pPr>
              <w:spacing w:before="20" w:after="20"/>
              <w:jc w:val="center"/>
            </w:pPr>
            <w:r>
              <w:rPr>
                <w:b/>
                <w:color w:val="FFFFFF"/>
                <w:sz w:val="15"/>
                <w:szCs w:val="15"/>
              </w:rPr>
              <w:t xml:space="preserve">Prix (t) → STU (t+1) (KC / DF)</w:t>
            </w:r>
          </w:p>
        </w:tc>
        <w:tc>
          <w:tcPr>
            <w:tcW w:w="2300" w:type="dxa"/>
            <w:shd w:val="clear" w:color="auto" w:fill="1F3864"/>
            <w:vAlign w:val="center"/>
          </w:tcPr>
          <w:p>
            <w:pPr>
              <w:spacing w:before="20" w:after="20"/>
              <w:jc w:val="center"/>
            </w:pPr>
            <w:r>
              <w:rPr>
                <w:b/>
                <w:color w:val="FFFFFF"/>
                <w:sz w:val="15"/>
                <w:szCs w:val="15"/>
              </w:rPr>
              <w:t xml:space="preserve">STU (t) → prix (t+1) (KC / DF)</w:t>
            </w:r>
          </w:p>
        </w:tc>
      </w:tr>
      <w:tr>
        <w:trPr>
          <w:cantSplit/>
        </w:trPr>
        <w:tc>
          <w:tcPr>
            <w:tcW w:w="3000" w:type="dxa"/>
            <w:vAlign w:val="center"/>
          </w:tcPr>
          <w:p>
            <w:pPr>
              <w:spacing w:before="20" w:after="20"/>
              <w:jc w:val="left"/>
            </w:pPr>
            <w:r>
              <w:rPr>
                <w:b/>
                <w:sz w:val="15"/>
                <w:szCs w:val="15"/>
              </w:rPr>
              <w:t xml:space="preserve">Importateurs (stocks ÷ conso)</w:t>
            </w:r>
          </w:p>
        </w:tc>
        <w:tc>
          <w:tcPr>
            <w:tcW w:w="2200" w:type="dxa"/>
            <w:vAlign w:val="center"/>
          </w:tcPr>
          <w:p>
            <w:pPr>
              <w:spacing w:before="20" w:after="20"/>
              <w:jc w:val="right"/>
            </w:pPr>
            <w:r>
              <w:rPr>
                <w:sz w:val="15"/>
                <w:szCs w:val="15"/>
              </w:rPr>
              <w:t xml:space="preserve">+0,20 / +0,09</w:t>
            </w:r>
          </w:p>
        </w:tc>
        <w:tc>
          <w:tcPr>
            <w:tcW w:w="2300" w:type="dxa"/>
            <w:vAlign w:val="center"/>
          </w:tcPr>
          <w:p>
            <w:pPr>
              <w:spacing w:before="20" w:after="20"/>
              <w:jc w:val="right"/>
            </w:pPr>
            <w:r>
              <w:rPr>
                <w:sz w:val="15"/>
                <w:szCs w:val="15"/>
              </w:rPr>
              <w:t xml:space="preserve">−0,75 / −0,68</w:t>
            </w:r>
          </w:p>
        </w:tc>
        <w:tc>
          <w:tcPr>
            <w:tcW w:w="2300" w:type="dxa"/>
            <w:vAlign w:val="center"/>
          </w:tcPr>
          <w:p>
            <w:pPr>
              <w:spacing w:before="20" w:after="20"/>
              <w:jc w:val="right"/>
            </w:pPr>
            <w:r>
              <w:rPr>
                <w:sz w:val="15"/>
                <w:szCs w:val="15"/>
              </w:rPr>
              <w:t xml:space="preserve">+0,06 / −0,41</w:t>
            </w:r>
          </w:p>
        </w:tc>
      </w:tr>
      <w:tr>
        <w:trPr>
          <w:cantSplit/>
        </w:trPr>
        <w:tc>
          <w:tcPr>
            <w:tcW w:w="3000" w:type="dxa"/>
            <w:shd w:val="clear" w:color="auto" w:fill="F2F4F7"/>
            <w:vAlign w:val="center"/>
          </w:tcPr>
          <w:p>
            <w:pPr>
              <w:spacing w:before="20" w:after="20"/>
              <w:jc w:val="left"/>
            </w:pPr>
            <w:r>
              <w:rPr>
                <w:b/>
                <w:sz w:val="15"/>
                <w:szCs w:val="15"/>
              </w:rPr>
              <w:t xml:space="preserve">UE + Royaume-Uni</w:t>
            </w:r>
          </w:p>
        </w:tc>
        <w:tc>
          <w:tcPr>
            <w:tcW w:w="2200" w:type="dxa"/>
            <w:shd w:val="clear" w:color="auto" w:fill="F2F4F7"/>
            <w:vAlign w:val="center"/>
          </w:tcPr>
          <w:p>
            <w:pPr>
              <w:spacing w:before="20" w:after="20"/>
              <w:jc w:val="right"/>
            </w:pPr>
            <w:r>
              <w:rPr>
                <w:sz w:val="15"/>
                <w:szCs w:val="15"/>
              </w:rPr>
              <w:t xml:space="preserve">+0,29 / +0,10</w:t>
            </w:r>
          </w:p>
        </w:tc>
        <w:tc>
          <w:tcPr>
            <w:tcW w:w="2300" w:type="dxa"/>
            <w:shd w:val="clear" w:color="auto" w:fill="F2F4F7"/>
            <w:vAlign w:val="center"/>
          </w:tcPr>
          <w:p>
            <w:pPr>
              <w:spacing w:before="20" w:after="20"/>
              <w:jc w:val="right"/>
            </w:pPr>
            <w:r>
              <w:rPr>
                <w:sz w:val="15"/>
                <w:szCs w:val="15"/>
              </w:rPr>
              <w:t xml:space="preserve">−0,78 / −0,61</w:t>
            </w:r>
          </w:p>
        </w:tc>
        <w:tc>
          <w:tcPr>
            <w:tcW w:w="2300" w:type="dxa"/>
            <w:shd w:val="clear" w:color="auto" w:fill="F2F4F7"/>
            <w:vAlign w:val="center"/>
          </w:tcPr>
          <w:p>
            <w:pPr>
              <w:spacing w:before="20" w:after="20"/>
              <w:jc w:val="right"/>
            </w:pPr>
            <w:r>
              <w:rPr>
                <w:sz w:val="15"/>
                <w:szCs w:val="15"/>
              </w:rPr>
              <w:t xml:space="preserve">+0,08 / −0,40</w:t>
            </w:r>
          </w:p>
        </w:tc>
      </w:tr>
      <w:tr>
        <w:trPr>
          <w:cantSplit/>
        </w:trPr>
        <w:tc>
          <w:tcPr>
            <w:tcW w:w="3000" w:type="dxa"/>
            <w:vAlign w:val="center"/>
          </w:tcPr>
          <w:p>
            <w:pPr>
              <w:spacing w:before="20" w:after="20"/>
              <w:jc w:val="left"/>
            </w:pPr>
            <w:r>
              <w:rPr>
                <w:b/>
                <w:sz w:val="15"/>
                <w:szCs w:val="15"/>
              </w:rPr>
              <w:t xml:space="preserve">Monde</w:t>
            </w:r>
          </w:p>
        </w:tc>
        <w:tc>
          <w:tcPr>
            <w:tcW w:w="2200" w:type="dxa"/>
            <w:vAlign w:val="center"/>
          </w:tcPr>
          <w:p>
            <w:pPr>
              <w:spacing w:before="20" w:after="20"/>
              <w:jc w:val="right"/>
            </w:pPr>
            <w:r>
              <w:rPr>
                <w:sz w:val="15"/>
                <w:szCs w:val="15"/>
              </w:rPr>
              <w:t xml:space="preserve">−0,13 / −0,14</w:t>
            </w:r>
          </w:p>
        </w:tc>
        <w:tc>
          <w:tcPr>
            <w:tcW w:w="2300" w:type="dxa"/>
            <w:vAlign w:val="center"/>
          </w:tcPr>
          <w:p>
            <w:pPr>
              <w:spacing w:before="20" w:after="20"/>
              <w:jc w:val="right"/>
            </w:pPr>
            <w:r>
              <w:rPr>
                <w:sz w:val="15"/>
                <w:szCs w:val="15"/>
              </w:rPr>
              <w:t xml:space="preserve">−0,32 / −0,38</w:t>
            </w:r>
          </w:p>
        </w:tc>
        <w:tc>
          <w:tcPr>
            <w:tcW w:w="2300" w:type="dxa"/>
            <w:vAlign w:val="center"/>
          </w:tcPr>
          <w:p>
            <w:pPr>
              <w:spacing w:before="20" w:after="20"/>
              <w:jc w:val="right"/>
            </w:pPr>
            <w:r>
              <w:rPr>
                <w:sz w:val="15"/>
                <w:szCs w:val="15"/>
              </w:rPr>
              <w:t xml:space="preserve">+0,11 / −0,34</w:t>
            </w:r>
          </w:p>
        </w:tc>
      </w:tr>
      <w:tr>
        <w:trPr>
          <w:cantSplit/>
        </w:trPr>
        <w:tc>
          <w:tcPr>
            <w:tcW w:w="3000" w:type="dxa"/>
            <w:shd w:val="clear" w:color="auto" w:fill="F2F4F7"/>
            <w:vAlign w:val="center"/>
          </w:tcPr>
          <w:p>
            <w:pPr>
              <w:spacing w:before="20" w:after="20"/>
              <w:jc w:val="left"/>
            </w:pPr>
            <w:r>
              <w:rPr>
                <w:b/>
                <w:sz w:val="15"/>
                <w:szCs w:val="15"/>
              </w:rPr>
              <w:t xml:space="preserve">Producteurs (42 origines)</w:t>
            </w:r>
          </w:p>
        </w:tc>
        <w:tc>
          <w:tcPr>
            <w:tcW w:w="2200" w:type="dxa"/>
            <w:shd w:val="clear" w:color="auto" w:fill="F2F4F7"/>
            <w:vAlign w:val="center"/>
          </w:tcPr>
          <w:p>
            <w:pPr>
              <w:spacing w:before="20" w:after="20"/>
              <w:jc w:val="right"/>
            </w:pPr>
            <w:r>
              <w:rPr>
                <w:sz w:val="15"/>
                <w:szCs w:val="15"/>
              </w:rPr>
              <w:t xml:space="preserve">−0,26 / −0,21</w:t>
            </w:r>
          </w:p>
        </w:tc>
        <w:tc>
          <w:tcPr>
            <w:tcW w:w="2300" w:type="dxa"/>
            <w:shd w:val="clear" w:color="auto" w:fill="F2F4F7"/>
            <w:vAlign w:val="center"/>
          </w:tcPr>
          <w:p>
            <w:pPr>
              <w:spacing w:before="20" w:after="20"/>
              <w:jc w:val="right"/>
            </w:pPr>
            <w:r>
              <w:rPr>
                <w:sz w:val="15"/>
                <w:szCs w:val="15"/>
              </w:rPr>
              <w:t xml:space="preserve">−0,06 / −0,16</w:t>
            </w:r>
          </w:p>
        </w:tc>
        <w:tc>
          <w:tcPr>
            <w:tcW w:w="2300" w:type="dxa"/>
            <w:shd w:val="clear" w:color="auto" w:fill="F2F4F7"/>
            <w:vAlign w:val="center"/>
          </w:tcPr>
          <w:p>
            <w:pPr>
              <w:spacing w:before="20" w:after="20"/>
              <w:jc w:val="right"/>
            </w:pPr>
            <w:r>
              <w:rPr>
                <w:sz w:val="15"/>
                <w:szCs w:val="15"/>
              </w:rPr>
              <w:t xml:space="preserve">+0,15 / −0,17</w:t>
            </w:r>
          </w:p>
        </w:tc>
      </w:tr>
    </w:tbl>
    <w:p>
      <w:pPr>
        <w:spacing w:after="60"/>
      </w:pPr>
      <w:r>
        <w:t xml:space="preserve"/>
      </w:r>
    </w:p>
    <w:p>
      <w:pPr>
        <w:pStyle w:val="Note"/>
      </w:pPr>
      <w:r>
        <w:t xml:space="preserve">Corrélations des variations annuelles (n = 14 à 15). « Prix (t) → STU (t+1) » : variation du prix pendant une campagne contre variation du STU la campagne suivante.</w:t>
      </w:r>
    </w:p>
    <w:p>
      <w:r>
        <w:t xml:space="preserve">Lecture : le STU des importateurs baisse l'année qui suit une hausse du prix (KC : r = −0,75, p = 0,002 ; DF : −0,68, p = 0,008 ; UE + Royaume-Uni : −0,78 et −0,61). La même année, le signe est même inversé (+0,20). Dans l'autre sens, rien de net (KC : +0,06 ; DF : −0,41, non significatif). Les stocks européens se vident quand le café est cher : le STU des importateurs colle au prix parce qu'il le suit. Le STU mondial et celui des producteurs ne montrent pas ce décalage.</w:t>
      </w:r>
    </w:p>
    <w:p>
      <w:r>
        <w:t xml:space="preserve">Les importateurs détiennent la plus grande partie du stock mondial (66 % en moyenne : UE + Royaume-Uni 37 %, États-Unis 19 %, Japon 9 %), mais ce sont les producteurs qui font bouger le stock mondial (75 % de ses variations : Brésil 53 %, Vietnam 17 % ; UE 15 %).</w:t>
      </w:r>
    </w:p>
    <w:p>
      <w:r>
        <w:br w:type="page"/>
      </w:r>
    </w:p>
    <w:p>
      <w:pPr>
        <w:pStyle w:val="Heading1"/>
        <w:keepNext/>
      </w:pPr>
      <w:r>
        <w:t xml:space="preserve">2. Le solde mondial : ce qui remplit ou vide les stocks</w:t>
      </w:r>
    </w:p>
    <w:p>
      <w:pPr>
        <w:pStyle w:val="Figure"/>
        <w:keepNext/>
      </w:pPr>
      <w:r>
        <w:drawing>
          <wp:inline distT="0" distB="0" distL="0" distR="0">
            <wp:extent cx="5940000" cy="2585849"/>
            <wp:docPr id="3" name="Graphique 3"/>
            <wp:cNvGraphicFramePr>
              <a:graphicFrameLocks noChangeAspect="1"/>
            </wp:cNvGraphicFramePr>
            <a:graphic>
              <a:graphicData uri="http://schemas.openxmlformats.org/drawingml/2006/picture">
                <pic:pic>
                  <pic:nvPicPr>
                    <pic:cNvPr id="3" name="graphique3.png"/>
                    <pic:cNvPicPr/>
                  </pic:nvPicPr>
                  <pic:blipFill>
                    <a:blip r:embed="rIdImg3"/>
                    <a:stretch>
                      <a:fillRect/>
                    </a:stretch>
                  </pic:blipFill>
                  <pic:spPr>
                    <a:xfrm>
                      <a:off x="0" y="0"/>
                      <a:ext cx="5940000" cy="2585849"/>
                    </a:xfrm>
                    <a:prstGeom prst="rect">
                      <a:avLst/>
                    </a:prstGeom>
                  </pic:spPr>
                </pic:pic>
              </a:graphicData>
            </a:graphic>
          </wp:inline>
        </w:drawing>
      </w:r>
    </w:p>
    <w:p>
      <w:pPr>
        <w:pStyle w:val="Caption"/>
      </w:pPr>
      <w:r>
        <w:t xml:space="preserve">Graphique 3 — Solde mondial = production − consommation − écart exportations/importations = variation des stocks mondiaux (M sacs), avec KC1 et DF1.</w:t>
      </w:r>
    </w:p>
    <w:p>
      <w:r>
        <w:t xml:space="preserve">Chaque année, les stocks mondiaux changent du solde production − consommation, corrigé d'un écart statistique : dans les données USDA, les exportations mondiales dépassent les importations de 0,8 à 12,8 M sacs selon l'année (5,9 en moyenne). 2021/22 à 2024/25 est la seule série de quatre baisses de stocks de suite depuis 2010 (−5,6, −5,0, −3,8 et −1,1 M sacs, soit −15,5 M), et c'est la période où le prix a doublé. Mais ces quatre baisses n'ont pas la même cause.</w:t>
      </w:r>
    </w:p>
    <w:tbl>
      <w:tblPr>
        <w:tblStyle w:val="Grille"/>
        <w:tblW w:w="96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70" w:type="dxa"/>
          <w:right w:w="70" w:type="dxa"/>
        </w:tblCellMar>
      </w:tblPr>
      <w:tblGrid>
        <w:gridCol w:w="1500"/>
        <w:gridCol w:w="1400"/>
        <w:gridCol w:w="1300"/>
        <w:gridCol w:w="1500"/>
        <w:gridCol w:w="1400"/>
        <w:gridCol w:w="1400"/>
        <w:gridCol w:w="1100"/>
      </w:tblGrid>
      <w:tr>
        <w:trPr>
          <w:tblHeader/>
        </w:trPr>
        <w:tc>
          <w:tcPr>
            <w:tcW w:w="1500" w:type="dxa"/>
            <w:shd w:val="clear" w:color="auto" w:fill="1F3864"/>
            <w:vAlign w:val="center"/>
          </w:tcPr>
          <w:p>
            <w:pPr>
              <w:spacing w:before="20" w:after="20"/>
              <w:jc w:val="center"/>
            </w:pPr>
            <w:r>
              <w:rPr>
                <w:b/>
                <w:color w:val="FFFFFF"/>
                <w:sz w:val="15"/>
                <w:szCs w:val="15"/>
              </w:rPr>
              <w:t xml:space="preserve">Campagne</w:t>
            </w:r>
          </w:p>
        </w:tc>
        <w:tc>
          <w:tcPr>
            <w:tcW w:w="1400" w:type="dxa"/>
            <w:shd w:val="clear" w:color="auto" w:fill="1F3864"/>
            <w:vAlign w:val="center"/>
          </w:tcPr>
          <w:p>
            <w:pPr>
              <w:spacing w:before="20" w:after="20"/>
              <w:jc w:val="center"/>
            </w:pPr>
            <w:r>
              <w:rPr>
                <w:b/>
                <w:color w:val="FFFFFF"/>
                <w:sz w:val="15"/>
                <w:szCs w:val="15"/>
              </w:rPr>
              <w:t xml:space="preserve">Production − consommation</w:t>
            </w:r>
          </w:p>
        </w:tc>
        <w:tc>
          <w:tcPr>
            <w:tcW w:w="1300" w:type="dxa"/>
            <w:shd w:val="clear" w:color="auto" w:fill="1F3864"/>
            <w:vAlign w:val="center"/>
          </w:tcPr>
          <w:p>
            <w:pPr>
              <w:spacing w:before="20" w:after="20"/>
              <w:jc w:val="center"/>
            </w:pPr>
            <w:r>
              <w:rPr>
                <w:b/>
                <w:color w:val="FFFFFF"/>
                <w:sz w:val="15"/>
                <w:szCs w:val="15"/>
              </w:rPr>
              <w:t xml:space="preserve">Écart export − import</w:t>
            </w:r>
          </w:p>
        </w:tc>
        <w:tc>
          <w:tcPr>
            <w:tcW w:w="1500" w:type="dxa"/>
            <w:shd w:val="clear" w:color="auto" w:fill="1F3864"/>
            <w:vAlign w:val="center"/>
          </w:tcPr>
          <w:p>
            <w:pPr>
              <w:spacing w:before="20" w:after="20"/>
              <w:jc w:val="center"/>
            </w:pPr>
            <w:r>
              <w:rPr>
                <w:b/>
                <w:color w:val="FFFFFF"/>
                <w:sz w:val="15"/>
                <w:szCs w:val="15"/>
              </w:rPr>
              <w:t xml:space="preserve">Variation des stocks mondiaux</w:t>
            </w:r>
          </w:p>
        </w:tc>
        <w:tc>
          <w:tcPr>
            <w:tcW w:w="1400" w:type="dxa"/>
            <w:shd w:val="clear" w:color="auto" w:fill="1F3864"/>
            <w:vAlign w:val="center"/>
          </w:tcPr>
          <w:p>
            <w:pPr>
              <w:spacing w:before="20" w:after="20"/>
              <w:jc w:val="center"/>
            </w:pPr>
            <w:r>
              <w:rPr>
                <w:b/>
                <w:color w:val="FFFFFF"/>
                <w:sz w:val="15"/>
                <w:szCs w:val="15"/>
              </w:rPr>
              <w:t xml:space="preserve">dont UE + Royaume-Uni</w:t>
            </w:r>
          </w:p>
        </w:tc>
        <w:tc>
          <w:tcPr>
            <w:tcW w:w="1400" w:type="dxa"/>
            <w:shd w:val="clear" w:color="auto" w:fill="1F3864"/>
            <w:vAlign w:val="center"/>
          </w:tcPr>
          <w:p>
            <w:pPr>
              <w:spacing w:before="20" w:after="20"/>
              <w:jc w:val="center"/>
            </w:pPr>
            <w:r>
              <w:rPr>
                <w:b/>
                <w:color w:val="FFFFFF"/>
                <w:sz w:val="15"/>
                <w:szCs w:val="15"/>
              </w:rPr>
              <w:t xml:space="preserve">dont pays producteurs</w:t>
            </w:r>
          </w:p>
        </w:tc>
        <w:tc>
          <w:tcPr>
            <w:tcW w:w="1100" w:type="dxa"/>
            <w:shd w:val="clear" w:color="auto" w:fill="1F3864"/>
            <w:vAlign w:val="center"/>
          </w:tcPr>
          <w:p>
            <w:pPr>
              <w:spacing w:before="20" w:after="20"/>
              <w:jc w:val="center"/>
            </w:pPr>
            <w:r>
              <w:rPr>
                <w:b/>
                <w:color w:val="FFFFFF"/>
                <w:sz w:val="15"/>
                <w:szCs w:val="15"/>
              </w:rPr>
              <w:t xml:space="preserve">dont Brésil</w:t>
            </w:r>
          </w:p>
        </w:tc>
      </w:tr>
      <w:tr>
        <w:trPr>
          <w:cantSplit/>
        </w:trPr>
        <w:tc>
          <w:tcPr>
            <w:tcW w:w="1500" w:type="dxa"/>
            <w:vAlign w:val="center"/>
          </w:tcPr>
          <w:p>
            <w:pPr>
              <w:spacing w:before="20" w:after="20"/>
              <w:jc w:val="left"/>
            </w:pPr>
            <w:r>
              <w:rPr>
                <w:b/>
                <w:sz w:val="15"/>
                <w:szCs w:val="15"/>
              </w:rPr>
              <w:t xml:space="preserve">2021/22</w:t>
            </w:r>
          </w:p>
        </w:tc>
        <w:tc>
          <w:tcPr>
            <w:tcW w:w="1400" w:type="dxa"/>
            <w:vAlign w:val="center"/>
          </w:tcPr>
          <w:p>
            <w:pPr>
              <w:spacing w:before="20" w:after="20"/>
              <w:jc w:val="right"/>
            </w:pPr>
            <w:r>
              <w:rPr>
                <w:sz w:val="15"/>
                <w:szCs w:val="15"/>
              </w:rPr>
              <w:t xml:space="preserve">−2,8</w:t>
            </w:r>
          </w:p>
        </w:tc>
        <w:tc>
          <w:tcPr>
            <w:tcW w:w="1300" w:type="dxa"/>
            <w:vAlign w:val="center"/>
          </w:tcPr>
          <w:p>
            <w:pPr>
              <w:spacing w:before="20" w:after="20"/>
              <w:jc w:val="right"/>
            </w:pPr>
            <w:r>
              <w:rPr>
                <w:sz w:val="15"/>
                <w:szCs w:val="15"/>
              </w:rPr>
              <w:t xml:space="preserve">2,7</w:t>
            </w:r>
          </w:p>
        </w:tc>
        <w:tc>
          <w:tcPr>
            <w:tcW w:w="1500" w:type="dxa"/>
            <w:vAlign w:val="center"/>
          </w:tcPr>
          <w:p>
            <w:pPr>
              <w:spacing w:before="20" w:after="20"/>
              <w:jc w:val="right"/>
            </w:pPr>
            <w:r>
              <w:rPr>
                <w:sz w:val="15"/>
                <w:szCs w:val="15"/>
              </w:rPr>
              <w:t xml:space="preserve">−5,6</w:t>
            </w:r>
          </w:p>
        </w:tc>
        <w:tc>
          <w:tcPr>
            <w:tcW w:w="1400" w:type="dxa"/>
            <w:vAlign w:val="center"/>
          </w:tcPr>
          <w:p>
            <w:pPr>
              <w:spacing w:before="20" w:after="20"/>
              <w:jc w:val="right"/>
            </w:pPr>
            <w:r>
              <w:rPr>
                <w:sz w:val="15"/>
                <w:szCs w:val="15"/>
              </w:rPr>
              <w:t xml:space="preserve">+0,2</w:t>
            </w:r>
          </w:p>
        </w:tc>
        <w:tc>
          <w:tcPr>
            <w:tcW w:w="1400" w:type="dxa"/>
            <w:vAlign w:val="center"/>
          </w:tcPr>
          <w:p>
            <w:pPr>
              <w:spacing w:before="20" w:after="20"/>
              <w:jc w:val="right"/>
            </w:pPr>
            <w:r>
              <w:rPr>
                <w:sz w:val="15"/>
                <w:szCs w:val="15"/>
              </w:rPr>
              <w:t xml:space="preserve">−6,0</w:t>
            </w:r>
          </w:p>
        </w:tc>
        <w:tc>
          <w:tcPr>
            <w:tcW w:w="1100" w:type="dxa"/>
            <w:vAlign w:val="center"/>
          </w:tcPr>
          <w:p>
            <w:pPr>
              <w:spacing w:before="20" w:after="20"/>
              <w:jc w:val="right"/>
            </w:pPr>
            <w:r>
              <w:rPr>
                <w:sz w:val="15"/>
                <w:szCs w:val="15"/>
              </w:rPr>
              <w:t xml:space="preserve">−3,9</w:t>
            </w:r>
          </w:p>
        </w:tc>
      </w:tr>
      <w:tr>
        <w:trPr>
          <w:cantSplit/>
        </w:trPr>
        <w:tc>
          <w:tcPr>
            <w:tcW w:w="1500" w:type="dxa"/>
            <w:shd w:val="clear" w:color="auto" w:fill="F2F4F7"/>
            <w:vAlign w:val="center"/>
          </w:tcPr>
          <w:p>
            <w:pPr>
              <w:spacing w:before="20" w:after="20"/>
              <w:jc w:val="left"/>
            </w:pPr>
            <w:r>
              <w:rPr>
                <w:b/>
                <w:sz w:val="15"/>
                <w:szCs w:val="15"/>
              </w:rPr>
              <w:t xml:space="preserve">2022/23</w:t>
            </w:r>
          </w:p>
        </w:tc>
        <w:tc>
          <w:tcPr>
            <w:tcW w:w="1400" w:type="dxa"/>
            <w:shd w:val="clear" w:color="auto" w:fill="F2F4F7"/>
            <w:vAlign w:val="center"/>
          </w:tcPr>
          <w:p>
            <w:pPr>
              <w:spacing w:before="20" w:after="20"/>
              <w:jc w:val="right"/>
            </w:pPr>
            <w:r>
              <w:rPr>
                <w:sz w:val="15"/>
                <w:szCs w:val="15"/>
              </w:rPr>
              <w:t xml:space="preserve">−4,2</w:t>
            </w:r>
          </w:p>
        </w:tc>
        <w:tc>
          <w:tcPr>
            <w:tcW w:w="1300" w:type="dxa"/>
            <w:shd w:val="clear" w:color="auto" w:fill="F2F4F7"/>
            <w:vAlign w:val="center"/>
          </w:tcPr>
          <w:p>
            <w:pPr>
              <w:spacing w:before="20" w:after="20"/>
              <w:jc w:val="right"/>
            </w:pPr>
            <w:r>
              <w:rPr>
                <w:sz w:val="15"/>
                <w:szCs w:val="15"/>
              </w:rPr>
              <w:t xml:space="preserve">0,8</w:t>
            </w:r>
          </w:p>
        </w:tc>
        <w:tc>
          <w:tcPr>
            <w:tcW w:w="1500" w:type="dxa"/>
            <w:shd w:val="clear" w:color="auto" w:fill="F2F4F7"/>
            <w:vAlign w:val="center"/>
          </w:tcPr>
          <w:p>
            <w:pPr>
              <w:spacing w:before="20" w:after="20"/>
              <w:jc w:val="right"/>
            </w:pPr>
            <w:r>
              <w:rPr>
                <w:sz w:val="15"/>
                <w:szCs w:val="15"/>
              </w:rPr>
              <w:t xml:space="preserve">−5,0</w:t>
            </w:r>
          </w:p>
        </w:tc>
        <w:tc>
          <w:tcPr>
            <w:tcW w:w="1400" w:type="dxa"/>
            <w:shd w:val="clear" w:color="auto" w:fill="F2F4F7"/>
            <w:vAlign w:val="center"/>
          </w:tcPr>
          <w:p>
            <w:pPr>
              <w:spacing w:before="20" w:after="20"/>
              <w:jc w:val="right"/>
            </w:pPr>
            <w:r>
              <w:rPr>
                <w:sz w:val="15"/>
                <w:szCs w:val="15"/>
              </w:rPr>
              <w:t xml:space="preserve">−4,7</w:t>
            </w:r>
          </w:p>
        </w:tc>
        <w:tc>
          <w:tcPr>
            <w:tcW w:w="1400" w:type="dxa"/>
            <w:shd w:val="clear" w:color="auto" w:fill="F2F4F7"/>
            <w:vAlign w:val="center"/>
          </w:tcPr>
          <w:p>
            <w:pPr>
              <w:spacing w:before="20" w:after="20"/>
              <w:jc w:val="right"/>
            </w:pPr>
            <w:r>
              <w:rPr>
                <w:sz w:val="15"/>
                <w:szCs w:val="15"/>
              </w:rPr>
              <w:t xml:space="preserve">+0,9</w:t>
            </w:r>
          </w:p>
        </w:tc>
        <w:tc>
          <w:tcPr>
            <w:tcW w:w="1100" w:type="dxa"/>
            <w:shd w:val="clear" w:color="auto" w:fill="F2F4F7"/>
            <w:vAlign w:val="center"/>
          </w:tcPr>
          <w:p>
            <w:pPr>
              <w:spacing w:before="20" w:after="20"/>
              <w:jc w:val="right"/>
            </w:pPr>
            <w:r>
              <w:rPr>
                <w:sz w:val="15"/>
                <w:szCs w:val="15"/>
              </w:rPr>
              <w:t xml:space="preserve">+4,1</w:t>
            </w:r>
          </w:p>
        </w:tc>
      </w:tr>
      <w:tr>
        <w:trPr>
          <w:cantSplit/>
        </w:trPr>
        <w:tc>
          <w:tcPr>
            <w:tcW w:w="1500" w:type="dxa"/>
            <w:vAlign w:val="center"/>
          </w:tcPr>
          <w:p>
            <w:pPr>
              <w:spacing w:before="20" w:after="20"/>
              <w:jc w:val="left"/>
            </w:pPr>
            <w:r>
              <w:rPr>
                <w:b/>
                <w:sz w:val="15"/>
                <w:szCs w:val="15"/>
              </w:rPr>
              <w:t xml:space="preserve">2023/24</w:t>
            </w:r>
          </w:p>
        </w:tc>
        <w:tc>
          <w:tcPr>
            <w:tcW w:w="1400" w:type="dxa"/>
            <w:vAlign w:val="center"/>
          </w:tcPr>
          <w:p>
            <w:pPr>
              <w:spacing w:before="20" w:after="20"/>
              <w:jc w:val="right"/>
            </w:pPr>
            <w:r>
              <w:rPr>
                <w:sz w:val="15"/>
                <w:szCs w:val="15"/>
              </w:rPr>
              <w:t xml:space="preserve">+5,4</w:t>
            </w:r>
          </w:p>
        </w:tc>
        <w:tc>
          <w:tcPr>
            <w:tcW w:w="1300" w:type="dxa"/>
            <w:vAlign w:val="center"/>
          </w:tcPr>
          <w:p>
            <w:pPr>
              <w:spacing w:before="20" w:after="20"/>
              <w:jc w:val="right"/>
            </w:pPr>
            <w:r>
              <w:rPr>
                <w:sz w:val="15"/>
                <w:szCs w:val="15"/>
              </w:rPr>
              <w:t xml:space="preserve">9,2</w:t>
            </w:r>
          </w:p>
        </w:tc>
        <w:tc>
          <w:tcPr>
            <w:tcW w:w="1500" w:type="dxa"/>
            <w:vAlign w:val="center"/>
          </w:tcPr>
          <w:p>
            <w:pPr>
              <w:spacing w:before="20" w:after="20"/>
              <w:jc w:val="right"/>
            </w:pPr>
            <w:r>
              <w:rPr>
                <w:sz w:val="15"/>
                <w:szCs w:val="15"/>
              </w:rPr>
              <w:t xml:space="preserve">−3,8</w:t>
            </w:r>
          </w:p>
        </w:tc>
        <w:tc>
          <w:tcPr>
            <w:tcW w:w="1400" w:type="dxa"/>
            <w:vAlign w:val="center"/>
          </w:tcPr>
          <w:p>
            <w:pPr>
              <w:spacing w:before="20" w:after="20"/>
              <w:jc w:val="right"/>
            </w:pPr>
            <w:r>
              <w:rPr>
                <w:sz w:val="15"/>
                <w:szCs w:val="15"/>
              </w:rPr>
              <w:t xml:space="preserve">−0,7</w:t>
            </w:r>
          </w:p>
        </w:tc>
        <w:tc>
          <w:tcPr>
            <w:tcW w:w="1400" w:type="dxa"/>
            <w:vAlign w:val="center"/>
          </w:tcPr>
          <w:p>
            <w:pPr>
              <w:spacing w:before="20" w:after="20"/>
              <w:jc w:val="right"/>
            </w:pPr>
            <w:r>
              <w:rPr>
                <w:sz w:val="15"/>
                <w:szCs w:val="15"/>
              </w:rPr>
              <w:t xml:space="preserve">−3,1</w:t>
            </w:r>
          </w:p>
        </w:tc>
        <w:tc>
          <w:tcPr>
            <w:tcW w:w="1100" w:type="dxa"/>
            <w:vAlign w:val="center"/>
          </w:tcPr>
          <w:p>
            <w:pPr>
              <w:spacing w:before="20" w:after="20"/>
              <w:jc w:val="right"/>
            </w:pPr>
            <w:r>
              <w:rPr>
                <w:sz w:val="15"/>
                <w:szCs w:val="15"/>
              </w:rPr>
              <w:t xml:space="preserve">−2,5</w:t>
            </w:r>
          </w:p>
        </w:tc>
      </w:tr>
      <w:tr>
        <w:trPr>
          <w:cantSplit/>
        </w:trPr>
        <w:tc>
          <w:tcPr>
            <w:tcW w:w="1500" w:type="dxa"/>
            <w:shd w:val="clear" w:color="auto" w:fill="F2F4F7"/>
            <w:vAlign w:val="center"/>
          </w:tcPr>
          <w:p>
            <w:pPr>
              <w:spacing w:before="20" w:after="20"/>
              <w:jc w:val="left"/>
            </w:pPr>
            <w:r>
              <w:rPr>
                <w:b/>
                <w:sz w:val="15"/>
                <w:szCs w:val="15"/>
              </w:rPr>
              <w:t xml:space="preserve">2024/25</w:t>
            </w:r>
          </w:p>
        </w:tc>
        <w:tc>
          <w:tcPr>
            <w:tcW w:w="1400" w:type="dxa"/>
            <w:shd w:val="clear" w:color="auto" w:fill="F2F4F7"/>
            <w:vAlign w:val="center"/>
          </w:tcPr>
          <w:p>
            <w:pPr>
              <w:spacing w:before="20" w:after="20"/>
              <w:jc w:val="right"/>
            </w:pPr>
            <w:r>
              <w:rPr>
                <w:sz w:val="15"/>
                <w:szCs w:val="15"/>
              </w:rPr>
              <w:t xml:space="preserve">+5,1</w:t>
            </w:r>
          </w:p>
        </w:tc>
        <w:tc>
          <w:tcPr>
            <w:tcW w:w="1300" w:type="dxa"/>
            <w:shd w:val="clear" w:color="auto" w:fill="F2F4F7"/>
            <w:vAlign w:val="center"/>
          </w:tcPr>
          <w:p>
            <w:pPr>
              <w:spacing w:before="20" w:after="20"/>
              <w:jc w:val="right"/>
            </w:pPr>
            <w:r>
              <w:rPr>
                <w:sz w:val="15"/>
                <w:szCs w:val="15"/>
              </w:rPr>
              <w:t xml:space="preserve">6,2</w:t>
            </w:r>
          </w:p>
        </w:tc>
        <w:tc>
          <w:tcPr>
            <w:tcW w:w="1500" w:type="dxa"/>
            <w:shd w:val="clear" w:color="auto" w:fill="F2F4F7"/>
            <w:vAlign w:val="center"/>
          </w:tcPr>
          <w:p>
            <w:pPr>
              <w:spacing w:before="20" w:after="20"/>
              <w:jc w:val="right"/>
            </w:pPr>
            <w:r>
              <w:rPr>
                <w:sz w:val="15"/>
                <w:szCs w:val="15"/>
              </w:rPr>
              <w:t xml:space="preserve">−1,1</w:t>
            </w:r>
          </w:p>
        </w:tc>
        <w:tc>
          <w:tcPr>
            <w:tcW w:w="1400" w:type="dxa"/>
            <w:shd w:val="clear" w:color="auto" w:fill="F2F4F7"/>
            <w:vAlign w:val="center"/>
          </w:tcPr>
          <w:p>
            <w:pPr>
              <w:spacing w:before="20" w:after="20"/>
              <w:jc w:val="right"/>
            </w:pPr>
            <w:r>
              <w:rPr>
                <w:sz w:val="15"/>
                <w:szCs w:val="15"/>
              </w:rPr>
              <w:t xml:space="preserve">−0,5</w:t>
            </w:r>
          </w:p>
        </w:tc>
        <w:tc>
          <w:tcPr>
            <w:tcW w:w="1400" w:type="dxa"/>
            <w:shd w:val="clear" w:color="auto" w:fill="F2F4F7"/>
            <w:vAlign w:val="center"/>
          </w:tcPr>
          <w:p>
            <w:pPr>
              <w:spacing w:before="20" w:after="20"/>
              <w:jc w:val="right"/>
            </w:pPr>
            <w:r>
              <w:rPr>
                <w:sz w:val="15"/>
                <w:szCs w:val="15"/>
              </w:rPr>
              <w:t xml:space="preserve">−0,3</w:t>
            </w:r>
          </w:p>
        </w:tc>
        <w:tc>
          <w:tcPr>
            <w:tcW w:w="1100" w:type="dxa"/>
            <w:shd w:val="clear" w:color="auto" w:fill="F2F4F7"/>
            <w:vAlign w:val="center"/>
          </w:tcPr>
          <w:p>
            <w:pPr>
              <w:spacing w:before="20" w:after="20"/>
              <w:jc w:val="right"/>
            </w:pPr>
            <w:r>
              <w:rPr>
                <w:sz w:val="15"/>
                <w:szCs w:val="15"/>
              </w:rPr>
              <w:t xml:space="preserve">−1,1</w:t>
            </w:r>
          </w:p>
        </w:tc>
      </w:tr>
      <w:tr>
        <w:trPr>
          <w:cantSplit/>
        </w:trPr>
        <w:tc>
          <w:tcPr>
            <w:tcW w:w="1500" w:type="dxa"/>
            <w:vAlign w:val="center"/>
          </w:tcPr>
          <w:p>
            <w:pPr>
              <w:spacing w:before="20" w:after="20"/>
              <w:jc w:val="left"/>
            </w:pPr>
            <w:r>
              <w:rPr>
                <w:b/>
                <w:sz w:val="15"/>
                <w:szCs w:val="15"/>
              </w:rPr>
              <w:t xml:space="preserve">2025/26</w:t>
            </w:r>
          </w:p>
        </w:tc>
        <w:tc>
          <w:tcPr>
            <w:tcW w:w="1400" w:type="dxa"/>
            <w:vAlign w:val="center"/>
          </w:tcPr>
          <w:p>
            <w:pPr>
              <w:spacing w:before="20" w:after="20"/>
              <w:jc w:val="right"/>
            </w:pPr>
            <w:r>
              <w:rPr>
                <w:sz w:val="15"/>
                <w:szCs w:val="15"/>
              </w:rPr>
              <w:t xml:space="preserve">+5,4</w:t>
            </w:r>
          </w:p>
        </w:tc>
        <w:tc>
          <w:tcPr>
            <w:tcW w:w="1300" w:type="dxa"/>
            <w:vAlign w:val="center"/>
          </w:tcPr>
          <w:p>
            <w:pPr>
              <w:spacing w:before="20" w:after="20"/>
              <w:jc w:val="right"/>
            </w:pPr>
            <w:r>
              <w:rPr>
                <w:sz w:val="15"/>
                <w:szCs w:val="15"/>
              </w:rPr>
              <w:t xml:space="preserve">3,0</w:t>
            </w:r>
          </w:p>
        </w:tc>
        <w:tc>
          <w:tcPr>
            <w:tcW w:w="1500" w:type="dxa"/>
            <w:vAlign w:val="center"/>
          </w:tcPr>
          <w:p>
            <w:pPr>
              <w:spacing w:before="20" w:after="20"/>
              <w:jc w:val="right"/>
            </w:pPr>
            <w:r>
              <w:rPr>
                <w:sz w:val="15"/>
                <w:szCs w:val="15"/>
              </w:rPr>
              <w:t xml:space="preserve">+2,4</w:t>
            </w:r>
          </w:p>
        </w:tc>
        <w:tc>
          <w:tcPr>
            <w:tcW w:w="1400" w:type="dxa"/>
            <w:vAlign w:val="center"/>
          </w:tcPr>
          <w:p>
            <w:pPr>
              <w:spacing w:before="20" w:after="20"/>
              <w:jc w:val="right"/>
            </w:pPr>
            <w:r>
              <w:rPr>
                <w:sz w:val="15"/>
                <w:szCs w:val="15"/>
              </w:rPr>
              <w:t xml:space="preserve">−0,7</w:t>
            </w:r>
          </w:p>
        </w:tc>
        <w:tc>
          <w:tcPr>
            <w:tcW w:w="1400" w:type="dxa"/>
            <w:vAlign w:val="center"/>
          </w:tcPr>
          <w:p>
            <w:pPr>
              <w:spacing w:before="20" w:after="20"/>
              <w:jc w:val="right"/>
            </w:pPr>
            <w:r>
              <w:rPr>
                <w:sz w:val="15"/>
                <w:szCs w:val="15"/>
              </w:rPr>
              <w:t xml:space="preserve">+3,1</w:t>
            </w:r>
          </w:p>
        </w:tc>
        <w:tc>
          <w:tcPr>
            <w:tcW w:w="1100" w:type="dxa"/>
            <w:vAlign w:val="center"/>
          </w:tcPr>
          <w:p>
            <w:pPr>
              <w:spacing w:before="20" w:after="20"/>
              <w:jc w:val="right"/>
            </w:pPr>
            <w:r>
              <w:rPr>
                <w:sz w:val="15"/>
                <w:szCs w:val="15"/>
              </w:rPr>
              <w:t xml:space="preserve">+2,9</w:t>
            </w:r>
          </w:p>
        </w:tc>
      </w:tr>
      <w:tr>
        <w:trPr>
          <w:cantSplit/>
        </w:trPr>
        <w:tc>
          <w:tcPr>
            <w:tcW w:w="1500" w:type="dxa"/>
            <w:shd w:val="clear" w:color="auto" w:fill="F2F4F7"/>
            <w:vAlign w:val="center"/>
          </w:tcPr>
          <w:p>
            <w:pPr>
              <w:spacing w:before="20" w:after="20"/>
              <w:jc w:val="left"/>
            </w:pPr>
            <w:r>
              <w:rPr>
                <w:b/>
                <w:sz w:val="15"/>
                <w:szCs w:val="15"/>
              </w:rPr>
              <w:t xml:space="preserve">2026/27 (prév.)</w:t>
            </w:r>
          </w:p>
        </w:tc>
        <w:tc>
          <w:tcPr>
            <w:tcW w:w="1400" w:type="dxa"/>
            <w:shd w:val="clear" w:color="auto" w:fill="F2F4F7"/>
            <w:vAlign w:val="center"/>
          </w:tcPr>
          <w:p>
            <w:pPr>
              <w:spacing w:before="20" w:after="20"/>
              <w:jc w:val="right"/>
            </w:pPr>
            <w:r>
              <w:rPr>
                <w:sz w:val="15"/>
                <w:szCs w:val="15"/>
              </w:rPr>
              <w:t xml:space="preserve">+9,9</w:t>
            </w:r>
          </w:p>
        </w:tc>
        <w:tc>
          <w:tcPr>
            <w:tcW w:w="1300" w:type="dxa"/>
            <w:shd w:val="clear" w:color="auto" w:fill="F2F4F7"/>
            <w:vAlign w:val="center"/>
          </w:tcPr>
          <w:p>
            <w:pPr>
              <w:spacing w:before="20" w:after="20"/>
              <w:jc w:val="right"/>
            </w:pPr>
            <w:r>
              <w:rPr>
                <w:sz w:val="15"/>
                <w:szCs w:val="15"/>
              </w:rPr>
              <w:t xml:space="preserve">8,0</w:t>
            </w:r>
          </w:p>
        </w:tc>
        <w:tc>
          <w:tcPr>
            <w:tcW w:w="1500" w:type="dxa"/>
            <w:shd w:val="clear" w:color="auto" w:fill="F2F4F7"/>
            <w:vAlign w:val="center"/>
          </w:tcPr>
          <w:p>
            <w:pPr>
              <w:spacing w:before="20" w:after="20"/>
              <w:jc w:val="right"/>
            </w:pPr>
            <w:r>
              <w:rPr>
                <w:sz w:val="15"/>
                <w:szCs w:val="15"/>
              </w:rPr>
              <w:t xml:space="preserve">+1,9</w:t>
            </w:r>
          </w:p>
        </w:tc>
        <w:tc>
          <w:tcPr>
            <w:tcW w:w="1400" w:type="dxa"/>
            <w:shd w:val="clear" w:color="auto" w:fill="F2F4F7"/>
            <w:vAlign w:val="center"/>
          </w:tcPr>
          <w:p>
            <w:pPr>
              <w:spacing w:before="20" w:after="20"/>
              <w:jc w:val="right"/>
            </w:pPr>
            <w:r>
              <w:rPr>
                <w:sz w:val="15"/>
                <w:szCs w:val="15"/>
              </w:rPr>
              <w:t xml:space="preserve">+1,8</w:t>
            </w:r>
          </w:p>
        </w:tc>
        <w:tc>
          <w:tcPr>
            <w:tcW w:w="1400" w:type="dxa"/>
            <w:shd w:val="clear" w:color="auto" w:fill="F2F4F7"/>
            <w:vAlign w:val="center"/>
          </w:tcPr>
          <w:p>
            <w:pPr>
              <w:spacing w:before="20" w:after="20"/>
              <w:jc w:val="right"/>
            </w:pPr>
            <w:r>
              <w:rPr>
                <w:sz w:val="15"/>
                <w:szCs w:val="15"/>
              </w:rPr>
              <w:t xml:space="preserve">0,0</w:t>
            </w:r>
          </w:p>
        </w:tc>
        <w:tc>
          <w:tcPr>
            <w:tcW w:w="1100" w:type="dxa"/>
            <w:shd w:val="clear" w:color="auto" w:fill="F2F4F7"/>
            <w:vAlign w:val="center"/>
          </w:tcPr>
          <w:p>
            <w:pPr>
              <w:spacing w:before="20" w:after="20"/>
              <w:jc w:val="right"/>
            </w:pPr>
            <w:r>
              <w:rPr>
                <w:sz w:val="15"/>
                <w:szCs w:val="15"/>
              </w:rPr>
              <w:t xml:space="preserve">+0,5</w:t>
            </w:r>
          </w:p>
        </w:tc>
      </w:tr>
    </w:tbl>
    <w:p>
      <w:pPr>
        <w:spacing w:after="60"/>
      </w:pPr>
      <w:r>
        <w:t xml:space="preserve"/>
      </w:r>
    </w:p>
    <w:p>
      <w:pPr>
        <w:pStyle w:val="Note"/>
      </w:pPr>
      <w:r>
        <w:t xml:space="preserve">M sacs. Variation des stocks mondiaux = (production − consommation) − écart export-import. 2026/27 = prévision USDA.</w:t>
      </w:r>
    </w:p>
    <w:p>
      <w:r>
        <w:t xml:space="preserve">Lecture : la production n'a été inférieure à la consommation qu'en 2021/22 (−2,8 M sacs : gel et sécheresse au Brésil) et en 2022/23 (−4,2 M). La baisse de 2022/23 est surtout européenne (−4,7 M sacs dans l'UE + Royaume-Uni, alors que les stocks des pays producteurs remontaient de 0,9 M, dont Brésil +4,1) : un déstockage qui suit la flambée de 2021/22. En 2023/24 et 2024/25, la production dépassait la consommation d'environ 5 M sacs ; les stocks ont pourtant baissé, parce que l'écart statistique a grimpé (9,2 puis 6,2 M sacs exportés mais pas enregistrés comme importés). Cet écart est une limite des données USDA : il peut correspondre à du café en transit, à des pays non couverts ou à des stocks non recensés.</w:t>
      </w:r>
    </w:p>
    <w:p>
      <w:r>
        <w:br w:type="page"/>
      </w:r>
    </w:p>
    <w:p>
      <w:pPr>
        <w:pStyle w:val="Heading1"/>
        <w:keepNext/>
      </w:pPr>
      <w:r>
        <w:t xml:space="preserve">3. Qu'est-ce qui fait bouger le STU mondial ?</w:t>
      </w:r>
    </w:p>
    <w:p>
      <w:pPr>
        <w:pStyle w:val="Figure"/>
        <w:keepNext/>
      </w:pPr>
      <w:r>
        <w:drawing>
          <wp:inline distT="0" distB="0" distL="0" distR="0">
            <wp:extent cx="5940000" cy="2585849"/>
            <wp:docPr id="4" name="Graphique 4"/>
            <wp:cNvGraphicFramePr>
              <a:graphicFrameLocks noChangeAspect="1"/>
            </wp:cNvGraphicFramePr>
            <a:graphic>
              <a:graphicData uri="http://schemas.openxmlformats.org/drawingml/2006/picture">
                <pic:pic>
                  <pic:nvPicPr>
                    <pic:cNvPr id="4" name="graphique4.png"/>
                    <pic:cNvPicPr/>
                  </pic:nvPicPr>
                  <pic:blipFill>
                    <a:blip r:embed="rIdImg4"/>
                    <a:stretch>
                      <a:fillRect/>
                    </a:stretch>
                  </pic:blipFill>
                  <pic:spPr>
                    <a:xfrm>
                      <a:off x="0" y="0"/>
                      <a:ext cx="5940000" cy="2585849"/>
                    </a:xfrm>
                    <a:prstGeom prst="rect">
                      <a:avLst/>
                    </a:prstGeom>
                  </pic:spPr>
                </pic:pic>
              </a:graphicData>
            </a:graphic>
          </wp:inline>
        </w:drawing>
      </w:r>
    </w:p>
    <w:p>
      <w:pPr>
        <w:pStyle w:val="Caption"/>
      </w:pPr>
      <w:r>
        <w:t xml:space="preserve">Graphique 4 — Part de chaque source dans les variations annuelles du STU mondial, 2011/12-2025/26 (écarts à la tendance, part de covariance).</w:t>
      </w:r>
    </w:p>
    <w:tbl>
      <w:tblPr>
        <w:tblStyle w:val="Grille"/>
        <w:tblW w:w="98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70" w:type="dxa"/>
          <w:right w:w="70" w:type="dxa"/>
        </w:tblCellMar>
      </w:tblPr>
      <w:tblGrid>
        <w:gridCol w:w="4600"/>
        <w:gridCol w:w="1650"/>
        <w:gridCol w:w="1650"/>
        <w:gridCol w:w="1900"/>
      </w:tblGrid>
      <w:tr>
        <w:trPr>
          <w:tblHeader/>
        </w:trPr>
        <w:tc>
          <w:tcPr>
            <w:tcW w:w="4600" w:type="dxa"/>
            <w:shd w:val="clear" w:color="auto" w:fill="1F3864"/>
            <w:vAlign w:val="center"/>
          </w:tcPr>
          <w:p>
            <w:pPr>
              <w:spacing w:before="20" w:after="20"/>
              <w:jc w:val="center"/>
            </w:pPr>
            <w:r>
              <w:rPr>
                <w:b/>
                <w:color w:val="FFFFFF"/>
                <w:sz w:val="15"/>
                <w:szCs w:val="15"/>
              </w:rPr>
              <w:t xml:space="preserve">Source</w:t>
            </w:r>
          </w:p>
        </w:tc>
        <w:tc>
          <w:tcPr>
            <w:tcW w:w="1650" w:type="dxa"/>
            <w:shd w:val="clear" w:color="auto" w:fill="1F3864"/>
            <w:vAlign w:val="center"/>
          </w:tcPr>
          <w:p>
            <w:pPr>
              <w:spacing w:before="20" w:after="20"/>
              <w:jc w:val="center"/>
            </w:pPr>
            <w:r>
              <w:rPr>
                <w:b/>
                <w:color w:val="FFFFFF"/>
                <w:sz w:val="15"/>
                <w:szCs w:val="15"/>
              </w:rPr>
              <w:t xml:space="preserve">Part (tendance linéaire)</w:t>
            </w:r>
          </w:p>
        </w:tc>
        <w:tc>
          <w:tcPr>
            <w:tcW w:w="1650" w:type="dxa"/>
            <w:shd w:val="clear" w:color="auto" w:fill="1F3864"/>
            <w:vAlign w:val="center"/>
          </w:tcPr>
          <w:p>
            <w:pPr>
              <w:spacing w:before="20" w:after="20"/>
              <w:jc w:val="center"/>
            </w:pPr>
            <w:r>
              <w:rPr>
                <w:b/>
                <w:color w:val="FFFFFF"/>
                <w:sz w:val="15"/>
                <w:szCs w:val="15"/>
              </w:rPr>
              <w:t xml:space="preserve">Part (tendance log-linéaire)</w:t>
            </w:r>
          </w:p>
        </w:tc>
        <w:tc>
          <w:tcPr>
            <w:tcW w:w="1900" w:type="dxa"/>
            <w:shd w:val="clear" w:color="auto" w:fill="1F3864"/>
            <w:vAlign w:val="center"/>
          </w:tcPr>
          <w:p>
            <w:pPr>
              <w:spacing w:before="20" w:after="20"/>
              <w:jc w:val="center"/>
            </w:pPr>
            <w:r>
              <w:rPr>
                <w:b/>
                <w:color w:val="FFFFFF"/>
                <w:sz w:val="15"/>
                <w:szCs w:val="15"/>
              </w:rPr>
              <w:t xml:space="preserve">Intervalle bootstrap à 90 %</w:t>
            </w:r>
          </w:p>
        </w:tc>
      </w:tr>
      <w:tr>
        <w:trPr>
          <w:cantSplit/>
        </w:trPr>
        <w:tc>
          <w:tcPr>
            <w:tcW w:w="4600" w:type="dxa"/>
            <w:vAlign w:val="center"/>
          </w:tcPr>
          <w:p>
            <w:pPr>
              <w:spacing w:before="20" w:after="20"/>
              <w:jc w:val="left"/>
            </w:pPr>
            <w:r>
              <w:rPr>
                <w:b/>
                <w:sz w:val="15"/>
                <w:szCs w:val="15"/>
              </w:rPr>
              <w:t xml:space="preserve">Production Brésil arabica</w:t>
            </w:r>
          </w:p>
        </w:tc>
        <w:tc>
          <w:tcPr>
            <w:tcW w:w="1650" w:type="dxa"/>
            <w:vAlign w:val="center"/>
          </w:tcPr>
          <w:p>
            <w:pPr>
              <w:spacing w:before="20" w:after="20"/>
              <w:jc w:val="right"/>
            </w:pPr>
            <w:r>
              <w:rPr>
                <w:sz w:val="15"/>
                <w:szCs w:val="15"/>
              </w:rPr>
              <w:t xml:space="preserve">+44 %</w:t>
            </w:r>
          </w:p>
        </w:tc>
        <w:tc>
          <w:tcPr>
            <w:tcW w:w="1650" w:type="dxa"/>
            <w:vAlign w:val="center"/>
          </w:tcPr>
          <w:p>
            <w:pPr>
              <w:spacing w:before="20" w:after="20"/>
              <w:jc w:val="right"/>
            </w:pPr>
            <w:r>
              <w:rPr>
                <w:sz w:val="15"/>
                <w:szCs w:val="15"/>
              </w:rPr>
              <w:t xml:space="preserve">+44 %</w:t>
            </w:r>
          </w:p>
        </w:tc>
        <w:tc>
          <w:tcPr>
            <w:tcW w:w="1900" w:type="dxa"/>
            <w:vAlign w:val="center"/>
          </w:tcPr>
          <w:p>
            <w:pPr>
              <w:spacing w:before="20" w:after="20"/>
              <w:jc w:val="right"/>
            </w:pPr>
            <w:r>
              <w:rPr>
                <w:sz w:val="15"/>
                <w:szCs w:val="15"/>
              </w:rPr>
              <w:t xml:space="preserve">+19 % à +81 %</w:t>
            </w:r>
          </w:p>
        </w:tc>
      </w:tr>
      <w:tr>
        <w:trPr>
          <w:cantSplit/>
        </w:trPr>
        <w:tc>
          <w:tcPr>
            <w:tcW w:w="4600" w:type="dxa"/>
            <w:shd w:val="clear" w:color="auto" w:fill="F2F4F7"/>
            <w:vAlign w:val="center"/>
          </w:tcPr>
          <w:p>
            <w:pPr>
              <w:spacing w:before="20" w:after="20"/>
              <w:jc w:val="left"/>
            </w:pPr>
            <w:r>
              <w:rPr>
                <w:b/>
                <w:sz w:val="15"/>
                <w:szCs w:val="15"/>
              </w:rPr>
              <w:t xml:space="preserve">Production Brésil conilon</w:t>
            </w:r>
          </w:p>
        </w:tc>
        <w:tc>
          <w:tcPr>
            <w:tcW w:w="1650" w:type="dxa"/>
            <w:shd w:val="clear" w:color="auto" w:fill="F2F4F7"/>
            <w:vAlign w:val="center"/>
          </w:tcPr>
          <w:p>
            <w:pPr>
              <w:spacing w:before="20" w:after="20"/>
              <w:jc w:val="right"/>
            </w:pPr>
            <w:r>
              <w:rPr>
                <w:sz w:val="15"/>
                <w:szCs w:val="15"/>
              </w:rPr>
              <w:t xml:space="preserve">+14 %</w:t>
            </w:r>
          </w:p>
        </w:tc>
        <w:tc>
          <w:tcPr>
            <w:tcW w:w="1650" w:type="dxa"/>
            <w:shd w:val="clear" w:color="auto" w:fill="F2F4F7"/>
            <w:vAlign w:val="center"/>
          </w:tcPr>
          <w:p>
            <w:pPr>
              <w:spacing w:before="20" w:after="20"/>
              <w:jc w:val="right"/>
            </w:pPr>
            <w:r>
              <w:rPr>
                <w:sz w:val="15"/>
                <w:szCs w:val="15"/>
              </w:rPr>
              <w:t xml:space="preserve">+13 %</w:t>
            </w:r>
          </w:p>
        </w:tc>
        <w:tc>
          <w:tcPr>
            <w:tcW w:w="1900" w:type="dxa"/>
            <w:shd w:val="clear" w:color="auto" w:fill="F2F4F7"/>
            <w:vAlign w:val="center"/>
          </w:tcPr>
          <w:p>
            <w:pPr>
              <w:spacing w:before="20" w:after="20"/>
              <w:jc w:val="right"/>
            </w:pPr>
            <w:r>
              <w:rPr>
                <w:sz w:val="15"/>
                <w:szCs w:val="15"/>
              </w:rPr>
              <w:t xml:space="preserve">−8 % à +28 %</w:t>
            </w:r>
          </w:p>
        </w:tc>
      </w:tr>
      <w:tr>
        <w:trPr>
          <w:cantSplit/>
        </w:trPr>
        <w:tc>
          <w:tcPr>
            <w:tcW w:w="4600" w:type="dxa"/>
            <w:vAlign w:val="center"/>
          </w:tcPr>
          <w:p>
            <w:pPr>
              <w:spacing w:before="20" w:after="20"/>
              <w:jc w:val="left"/>
            </w:pPr>
            <w:r>
              <w:rPr>
                <w:b/>
                <w:sz w:val="15"/>
                <w:szCs w:val="15"/>
              </w:rPr>
              <w:t xml:space="preserve">Production Indonésie</w:t>
            </w:r>
          </w:p>
        </w:tc>
        <w:tc>
          <w:tcPr>
            <w:tcW w:w="1650" w:type="dxa"/>
            <w:vAlign w:val="center"/>
          </w:tcPr>
          <w:p>
            <w:pPr>
              <w:spacing w:before="20" w:after="20"/>
              <w:jc w:val="right"/>
            </w:pPr>
            <w:r>
              <w:rPr>
                <w:sz w:val="15"/>
                <w:szCs w:val="15"/>
              </w:rPr>
              <w:t xml:space="preserve">+9 %</w:t>
            </w:r>
          </w:p>
        </w:tc>
        <w:tc>
          <w:tcPr>
            <w:tcW w:w="1650" w:type="dxa"/>
            <w:vAlign w:val="center"/>
          </w:tcPr>
          <w:p>
            <w:pPr>
              <w:spacing w:before="20" w:after="20"/>
              <w:jc w:val="right"/>
            </w:pPr>
            <w:r>
              <w:rPr>
                <w:sz w:val="15"/>
                <w:szCs w:val="15"/>
              </w:rPr>
              <w:t xml:space="preserve">+9 %</w:t>
            </w:r>
          </w:p>
        </w:tc>
        <w:tc>
          <w:tcPr>
            <w:tcW w:w="1900" w:type="dxa"/>
            <w:vAlign w:val="center"/>
          </w:tcPr>
          <w:p>
            <w:pPr>
              <w:spacing w:before="20" w:after="20"/>
              <w:jc w:val="right"/>
            </w:pPr>
            <w:r>
              <w:rPr>
                <w:sz w:val="15"/>
                <w:szCs w:val="15"/>
              </w:rPr>
              <w:t xml:space="preserve">−3 % à +27 %</w:t>
            </w:r>
          </w:p>
        </w:tc>
      </w:tr>
      <w:tr>
        <w:trPr>
          <w:cantSplit/>
        </w:trPr>
        <w:tc>
          <w:tcPr>
            <w:tcW w:w="4600" w:type="dxa"/>
            <w:shd w:val="clear" w:color="auto" w:fill="F2F4F7"/>
            <w:vAlign w:val="center"/>
          </w:tcPr>
          <w:p>
            <w:pPr>
              <w:spacing w:before="20" w:after="20"/>
              <w:jc w:val="left"/>
            </w:pPr>
            <w:r>
              <w:rPr>
                <w:b/>
                <w:sz w:val="15"/>
                <w:szCs w:val="15"/>
              </w:rPr>
              <w:t xml:space="preserve">Production Vietnam</w:t>
            </w:r>
          </w:p>
        </w:tc>
        <w:tc>
          <w:tcPr>
            <w:tcW w:w="1650" w:type="dxa"/>
            <w:shd w:val="clear" w:color="auto" w:fill="F2F4F7"/>
            <w:vAlign w:val="center"/>
          </w:tcPr>
          <w:p>
            <w:pPr>
              <w:spacing w:before="20" w:after="20"/>
              <w:jc w:val="right"/>
            </w:pPr>
            <w:r>
              <w:rPr>
                <w:sz w:val="15"/>
                <w:szCs w:val="15"/>
              </w:rPr>
              <w:t xml:space="preserve">+5 %</w:t>
            </w:r>
          </w:p>
        </w:tc>
        <w:tc>
          <w:tcPr>
            <w:tcW w:w="1650" w:type="dxa"/>
            <w:shd w:val="clear" w:color="auto" w:fill="F2F4F7"/>
            <w:vAlign w:val="center"/>
          </w:tcPr>
          <w:p>
            <w:pPr>
              <w:spacing w:before="20" w:after="20"/>
              <w:jc w:val="right"/>
            </w:pPr>
            <w:r>
              <w:rPr>
                <w:sz w:val="15"/>
                <w:szCs w:val="15"/>
              </w:rPr>
              <w:t xml:space="preserve">+6 %</w:t>
            </w:r>
          </w:p>
        </w:tc>
        <w:tc>
          <w:tcPr>
            <w:tcW w:w="1900" w:type="dxa"/>
            <w:shd w:val="clear" w:color="auto" w:fill="F2F4F7"/>
            <w:vAlign w:val="center"/>
          </w:tcPr>
          <w:p>
            <w:pPr>
              <w:spacing w:before="20" w:after="20"/>
              <w:jc w:val="right"/>
            </w:pPr>
            <w:r>
              <w:rPr>
                <w:sz w:val="15"/>
                <w:szCs w:val="15"/>
              </w:rPr>
              <w:t xml:space="preserve">−7 % à +26 %</w:t>
            </w:r>
          </w:p>
        </w:tc>
      </w:tr>
      <w:tr>
        <w:trPr>
          <w:cantSplit/>
        </w:trPr>
        <w:tc>
          <w:tcPr>
            <w:tcW w:w="4600" w:type="dxa"/>
            <w:vAlign w:val="center"/>
          </w:tcPr>
          <w:p>
            <w:pPr>
              <w:spacing w:before="20" w:after="20"/>
              <w:jc w:val="left"/>
            </w:pPr>
            <w:r>
              <w:rPr>
                <w:b/>
                <w:sz w:val="15"/>
                <w:szCs w:val="15"/>
              </w:rPr>
              <w:t xml:space="preserve">Production Amérique centrale + Mexique</w:t>
            </w:r>
          </w:p>
        </w:tc>
        <w:tc>
          <w:tcPr>
            <w:tcW w:w="1650" w:type="dxa"/>
            <w:vAlign w:val="center"/>
          </w:tcPr>
          <w:p>
            <w:pPr>
              <w:spacing w:before="20" w:after="20"/>
              <w:jc w:val="right"/>
            </w:pPr>
            <w:r>
              <w:rPr>
                <w:sz w:val="15"/>
                <w:szCs w:val="15"/>
              </w:rPr>
              <w:t xml:space="preserve">+4 %</w:t>
            </w:r>
          </w:p>
        </w:tc>
        <w:tc>
          <w:tcPr>
            <w:tcW w:w="1650" w:type="dxa"/>
            <w:vAlign w:val="center"/>
          </w:tcPr>
          <w:p>
            <w:pPr>
              <w:spacing w:before="20" w:after="20"/>
              <w:jc w:val="right"/>
            </w:pPr>
            <w:r>
              <w:rPr>
                <w:sz w:val="15"/>
                <w:szCs w:val="15"/>
              </w:rPr>
              <w:t xml:space="preserve">+4 %</w:t>
            </w:r>
          </w:p>
        </w:tc>
        <w:tc>
          <w:tcPr>
            <w:tcW w:w="1900" w:type="dxa"/>
            <w:vAlign w:val="center"/>
          </w:tcPr>
          <w:p>
            <w:pPr>
              <w:spacing w:before="20" w:after="20"/>
              <w:jc w:val="right"/>
            </w:pPr>
            <w:r>
              <w:rPr>
                <w:sz w:val="15"/>
                <w:szCs w:val="15"/>
              </w:rPr>
              <w:t xml:space="preserve">−16 % à +17 %</w:t>
            </w:r>
          </w:p>
        </w:tc>
      </w:tr>
      <w:tr>
        <w:trPr>
          <w:cantSplit/>
        </w:trPr>
        <w:tc>
          <w:tcPr>
            <w:tcW w:w="4600" w:type="dxa"/>
            <w:shd w:val="clear" w:color="auto" w:fill="F2F4F7"/>
            <w:vAlign w:val="center"/>
          </w:tcPr>
          <w:p>
            <w:pPr>
              <w:spacing w:before="20" w:after="20"/>
              <w:jc w:val="left"/>
            </w:pPr>
            <w:r>
              <w:rPr>
                <w:b/>
                <w:sz w:val="15"/>
                <w:szCs w:val="15"/>
              </w:rPr>
              <w:t xml:space="preserve">Production Éthiopie</w:t>
            </w:r>
          </w:p>
        </w:tc>
        <w:tc>
          <w:tcPr>
            <w:tcW w:w="1650" w:type="dxa"/>
            <w:shd w:val="clear" w:color="auto" w:fill="F2F4F7"/>
            <w:vAlign w:val="center"/>
          </w:tcPr>
          <w:p>
            <w:pPr>
              <w:spacing w:before="20" w:after="20"/>
              <w:jc w:val="right"/>
            </w:pPr>
            <w:r>
              <w:rPr>
                <w:sz w:val="15"/>
                <w:szCs w:val="15"/>
              </w:rPr>
              <w:t xml:space="preserve">+4 %</w:t>
            </w:r>
          </w:p>
        </w:tc>
        <w:tc>
          <w:tcPr>
            <w:tcW w:w="1650" w:type="dxa"/>
            <w:shd w:val="clear" w:color="auto" w:fill="F2F4F7"/>
            <w:vAlign w:val="center"/>
          </w:tcPr>
          <w:p>
            <w:pPr>
              <w:spacing w:before="20" w:after="20"/>
              <w:jc w:val="right"/>
            </w:pPr>
            <w:r>
              <w:rPr>
                <w:sz w:val="15"/>
                <w:szCs w:val="15"/>
              </w:rPr>
              <w:t xml:space="preserve">+4 %</w:t>
            </w:r>
          </w:p>
        </w:tc>
        <w:tc>
          <w:tcPr>
            <w:tcW w:w="1900" w:type="dxa"/>
            <w:shd w:val="clear" w:color="auto" w:fill="F2F4F7"/>
            <w:vAlign w:val="center"/>
          </w:tcPr>
          <w:p>
            <w:pPr>
              <w:spacing w:before="20" w:after="20"/>
              <w:jc w:val="right"/>
            </w:pPr>
            <w:r>
              <w:rPr>
                <w:sz w:val="15"/>
                <w:szCs w:val="15"/>
              </w:rPr>
              <w:t xml:space="preserve">−1 % à +9 %</w:t>
            </w:r>
          </w:p>
        </w:tc>
      </w:tr>
      <w:tr>
        <w:trPr>
          <w:cantSplit/>
        </w:trPr>
        <w:tc>
          <w:tcPr>
            <w:tcW w:w="4600" w:type="dxa"/>
            <w:vAlign w:val="center"/>
          </w:tcPr>
          <w:p>
            <w:pPr>
              <w:spacing w:before="20" w:after="20"/>
              <w:jc w:val="left"/>
            </w:pPr>
            <w:r>
              <w:rPr>
                <w:b/>
                <w:sz w:val="15"/>
                <w:szCs w:val="15"/>
              </w:rPr>
              <w:t xml:space="preserve">Production Ouganda</w:t>
            </w:r>
          </w:p>
        </w:tc>
        <w:tc>
          <w:tcPr>
            <w:tcW w:w="1650" w:type="dxa"/>
            <w:vAlign w:val="center"/>
          </w:tcPr>
          <w:p>
            <w:pPr>
              <w:spacing w:before="20" w:after="20"/>
              <w:jc w:val="right"/>
            </w:pPr>
            <w:r>
              <w:rPr>
                <w:sz w:val="15"/>
                <w:szCs w:val="15"/>
              </w:rPr>
              <w:t xml:space="preserve">+3 %</w:t>
            </w:r>
          </w:p>
        </w:tc>
        <w:tc>
          <w:tcPr>
            <w:tcW w:w="1650" w:type="dxa"/>
            <w:vAlign w:val="center"/>
          </w:tcPr>
          <w:p>
            <w:pPr>
              <w:spacing w:before="20" w:after="20"/>
              <w:jc w:val="right"/>
            </w:pPr>
            <w:r>
              <w:rPr>
                <w:sz w:val="15"/>
                <w:szCs w:val="15"/>
              </w:rPr>
              <w:t xml:space="preserve">+2 %</w:t>
            </w:r>
          </w:p>
        </w:tc>
        <w:tc>
          <w:tcPr>
            <w:tcW w:w="1900" w:type="dxa"/>
            <w:vAlign w:val="center"/>
          </w:tcPr>
          <w:p>
            <w:pPr>
              <w:spacing w:before="20" w:after="20"/>
              <w:jc w:val="right"/>
            </w:pPr>
            <w:r>
              <w:rPr>
                <w:sz w:val="15"/>
                <w:szCs w:val="15"/>
              </w:rPr>
              <w:t xml:space="preserve">−1 % à +5 %</w:t>
            </w:r>
          </w:p>
        </w:tc>
      </w:tr>
      <w:tr>
        <w:trPr>
          <w:cantSplit/>
        </w:trPr>
        <w:tc>
          <w:tcPr>
            <w:tcW w:w="4600" w:type="dxa"/>
            <w:shd w:val="clear" w:color="auto" w:fill="F2F4F7"/>
            <w:vAlign w:val="center"/>
          </w:tcPr>
          <w:p>
            <w:pPr>
              <w:spacing w:before="20" w:after="20"/>
              <w:jc w:val="left"/>
            </w:pPr>
            <w:r>
              <w:rPr>
                <w:b/>
                <w:sz w:val="15"/>
                <w:szCs w:val="15"/>
              </w:rPr>
              <w:t xml:space="preserve">Production Colombie</w:t>
            </w:r>
          </w:p>
        </w:tc>
        <w:tc>
          <w:tcPr>
            <w:tcW w:w="1650" w:type="dxa"/>
            <w:shd w:val="clear" w:color="auto" w:fill="F2F4F7"/>
            <w:vAlign w:val="center"/>
          </w:tcPr>
          <w:p>
            <w:pPr>
              <w:spacing w:before="20" w:after="20"/>
              <w:jc w:val="right"/>
            </w:pPr>
            <w:r>
              <w:rPr>
                <w:sz w:val="15"/>
                <w:szCs w:val="15"/>
              </w:rPr>
              <w:t xml:space="preserve">+1 %</w:t>
            </w:r>
          </w:p>
        </w:tc>
        <w:tc>
          <w:tcPr>
            <w:tcW w:w="1650" w:type="dxa"/>
            <w:shd w:val="clear" w:color="auto" w:fill="F2F4F7"/>
            <w:vAlign w:val="center"/>
          </w:tcPr>
          <w:p>
            <w:pPr>
              <w:spacing w:before="20" w:after="20"/>
              <w:jc w:val="right"/>
            </w:pPr>
            <w:r>
              <w:rPr>
                <w:sz w:val="15"/>
                <w:szCs w:val="15"/>
              </w:rPr>
              <w:t xml:space="preserve">+2 %</w:t>
            </w:r>
          </w:p>
        </w:tc>
        <w:tc>
          <w:tcPr>
            <w:tcW w:w="1900" w:type="dxa"/>
            <w:shd w:val="clear" w:color="auto" w:fill="F2F4F7"/>
            <w:vAlign w:val="center"/>
          </w:tcPr>
          <w:p>
            <w:pPr>
              <w:spacing w:before="20" w:after="20"/>
              <w:jc w:val="right"/>
            </w:pPr>
            <w:r>
              <w:rPr>
                <w:sz w:val="15"/>
                <w:szCs w:val="15"/>
              </w:rPr>
              <w:t xml:space="preserve">−10 % à +31 %</w:t>
            </w:r>
          </w:p>
        </w:tc>
      </w:tr>
      <w:tr>
        <w:trPr>
          <w:cantSplit/>
        </w:trPr>
        <w:tc>
          <w:tcPr>
            <w:tcW w:w="4600" w:type="dxa"/>
            <w:vAlign w:val="center"/>
          </w:tcPr>
          <w:p>
            <w:pPr>
              <w:spacing w:before="20" w:after="20"/>
              <w:jc w:val="left"/>
            </w:pPr>
            <w:r>
              <w:rPr>
                <w:b/>
                <w:sz w:val="15"/>
                <w:szCs w:val="15"/>
              </w:rPr>
              <w:t xml:space="preserve">Production autres origines</w:t>
            </w:r>
          </w:p>
        </w:tc>
        <w:tc>
          <w:tcPr>
            <w:tcW w:w="1650" w:type="dxa"/>
            <w:vAlign w:val="center"/>
          </w:tcPr>
          <w:p>
            <w:pPr>
              <w:spacing w:before="20" w:after="20"/>
              <w:jc w:val="right"/>
            </w:pPr>
            <w:r>
              <w:rPr>
                <w:sz w:val="15"/>
                <w:szCs w:val="15"/>
              </w:rPr>
              <w:t xml:space="preserve">0 %</w:t>
            </w:r>
          </w:p>
        </w:tc>
        <w:tc>
          <w:tcPr>
            <w:tcW w:w="1650" w:type="dxa"/>
            <w:vAlign w:val="center"/>
          </w:tcPr>
          <w:p>
            <w:pPr>
              <w:spacing w:before="20" w:after="20"/>
              <w:jc w:val="right"/>
            </w:pPr>
            <w:r>
              <w:rPr>
                <w:sz w:val="15"/>
                <w:szCs w:val="15"/>
              </w:rPr>
              <w:t xml:space="preserve">0 %</w:t>
            </w:r>
          </w:p>
        </w:tc>
        <w:tc>
          <w:tcPr>
            <w:tcW w:w="1900" w:type="dxa"/>
            <w:vAlign w:val="center"/>
          </w:tcPr>
          <w:p>
            <w:pPr>
              <w:spacing w:before="20" w:after="20"/>
              <w:jc w:val="right"/>
            </w:pPr>
            <w:r>
              <w:rPr>
                <w:sz w:val="15"/>
                <w:szCs w:val="15"/>
              </w:rPr>
              <w:t xml:space="preserve">−7 % à +5 %</w:t>
            </w:r>
          </w:p>
        </w:tc>
      </w:tr>
      <w:tr>
        <w:trPr>
          <w:cantSplit/>
        </w:trPr>
        <w:tc>
          <w:tcPr>
            <w:tcW w:w="4600" w:type="dxa"/>
            <w:shd w:val="clear" w:color="auto" w:fill="F2F4F7"/>
            <w:vAlign w:val="center"/>
          </w:tcPr>
          <w:p>
            <w:pPr>
              <w:spacing w:before="20" w:after="20"/>
              <w:jc w:val="left"/>
            </w:pPr>
            <w:r>
              <w:rPr>
                <w:b/>
                <w:sz w:val="15"/>
                <w:szCs w:val="15"/>
              </w:rPr>
              <w:t xml:space="preserve">Consommation UE + RU (apparente)</w:t>
            </w:r>
          </w:p>
        </w:tc>
        <w:tc>
          <w:tcPr>
            <w:tcW w:w="1650" w:type="dxa"/>
            <w:shd w:val="clear" w:color="auto" w:fill="F2F4F7"/>
            <w:vAlign w:val="center"/>
          </w:tcPr>
          <w:p>
            <w:pPr>
              <w:spacing w:before="20" w:after="20"/>
              <w:jc w:val="right"/>
            </w:pPr>
            <w:r>
              <w:rPr>
                <w:sz w:val="15"/>
                <w:szCs w:val="15"/>
              </w:rPr>
              <w:t xml:space="preserve">+10 %</w:t>
            </w:r>
          </w:p>
        </w:tc>
        <w:tc>
          <w:tcPr>
            <w:tcW w:w="1650" w:type="dxa"/>
            <w:shd w:val="clear" w:color="auto" w:fill="F2F4F7"/>
            <w:vAlign w:val="center"/>
          </w:tcPr>
          <w:p>
            <w:pPr>
              <w:spacing w:before="20" w:after="20"/>
              <w:jc w:val="right"/>
            </w:pPr>
            <w:r>
              <w:rPr>
                <w:sz w:val="15"/>
                <w:szCs w:val="15"/>
              </w:rPr>
              <w:t xml:space="preserve">+10 %</w:t>
            </w:r>
          </w:p>
        </w:tc>
        <w:tc>
          <w:tcPr>
            <w:tcW w:w="1900" w:type="dxa"/>
            <w:shd w:val="clear" w:color="auto" w:fill="F2F4F7"/>
            <w:vAlign w:val="center"/>
          </w:tcPr>
          <w:p>
            <w:pPr>
              <w:spacing w:before="20" w:after="20"/>
              <w:jc w:val="right"/>
            </w:pPr>
            <w:r>
              <w:rPr>
                <w:sz w:val="15"/>
                <w:szCs w:val="15"/>
              </w:rPr>
              <w:t xml:space="preserve">0 % à +27 %</w:t>
            </w:r>
          </w:p>
        </w:tc>
      </w:tr>
      <w:tr>
        <w:trPr>
          <w:cantSplit/>
        </w:trPr>
        <w:tc>
          <w:tcPr>
            <w:tcW w:w="4600" w:type="dxa"/>
            <w:vAlign w:val="center"/>
          </w:tcPr>
          <w:p>
            <w:pPr>
              <w:spacing w:before="20" w:after="20"/>
              <w:jc w:val="left"/>
            </w:pPr>
            <w:r>
              <w:rPr>
                <w:b/>
                <w:sz w:val="15"/>
                <w:szCs w:val="15"/>
              </w:rPr>
              <w:t xml:space="preserve">Consommation autres Asie importatrice (apparente)</w:t>
            </w:r>
          </w:p>
        </w:tc>
        <w:tc>
          <w:tcPr>
            <w:tcW w:w="1650" w:type="dxa"/>
            <w:vAlign w:val="center"/>
          </w:tcPr>
          <w:p>
            <w:pPr>
              <w:spacing w:before="20" w:after="20"/>
              <w:jc w:val="right"/>
            </w:pPr>
            <w:r>
              <w:rPr>
                <w:sz w:val="15"/>
                <w:szCs w:val="15"/>
              </w:rPr>
              <w:t xml:space="preserve">+7 %</w:t>
            </w:r>
          </w:p>
        </w:tc>
        <w:tc>
          <w:tcPr>
            <w:tcW w:w="1650" w:type="dxa"/>
            <w:vAlign w:val="center"/>
          </w:tcPr>
          <w:p>
            <w:pPr>
              <w:spacing w:before="20" w:after="20"/>
              <w:jc w:val="right"/>
            </w:pPr>
            <w:r>
              <w:rPr>
                <w:sz w:val="15"/>
                <w:szCs w:val="15"/>
              </w:rPr>
              <w:t xml:space="preserve">+7 %</w:t>
            </w:r>
          </w:p>
        </w:tc>
        <w:tc>
          <w:tcPr>
            <w:tcW w:w="1900" w:type="dxa"/>
            <w:vAlign w:val="center"/>
          </w:tcPr>
          <w:p>
            <w:pPr>
              <w:spacing w:before="20" w:after="20"/>
              <w:jc w:val="right"/>
            </w:pPr>
            <w:r>
              <w:rPr>
                <w:sz w:val="15"/>
                <w:szCs w:val="15"/>
              </w:rPr>
              <w:t xml:space="preserve">−1 % à +14 %</w:t>
            </w:r>
          </w:p>
        </w:tc>
      </w:tr>
      <w:tr>
        <w:trPr>
          <w:cantSplit/>
        </w:trPr>
        <w:tc>
          <w:tcPr>
            <w:tcW w:w="4600" w:type="dxa"/>
            <w:shd w:val="clear" w:color="auto" w:fill="F2F4F7"/>
            <w:vAlign w:val="center"/>
          </w:tcPr>
          <w:p>
            <w:pPr>
              <w:spacing w:before="20" w:after="20"/>
              <w:jc w:val="left"/>
            </w:pPr>
            <w:r>
              <w:rPr>
                <w:b/>
                <w:sz w:val="15"/>
                <w:szCs w:val="15"/>
              </w:rPr>
              <w:t xml:space="preserve">Consommation États-Unis + Japon</w:t>
            </w:r>
          </w:p>
        </w:tc>
        <w:tc>
          <w:tcPr>
            <w:tcW w:w="1650" w:type="dxa"/>
            <w:shd w:val="clear" w:color="auto" w:fill="F2F4F7"/>
            <w:vAlign w:val="center"/>
          </w:tcPr>
          <w:p>
            <w:pPr>
              <w:spacing w:before="20" w:after="20"/>
              <w:jc w:val="right"/>
            </w:pPr>
            <w:r>
              <w:rPr>
                <w:sz w:val="15"/>
                <w:szCs w:val="15"/>
              </w:rPr>
              <w:t xml:space="preserve">+2 %</w:t>
            </w:r>
          </w:p>
        </w:tc>
        <w:tc>
          <w:tcPr>
            <w:tcW w:w="1650" w:type="dxa"/>
            <w:shd w:val="clear" w:color="auto" w:fill="F2F4F7"/>
            <w:vAlign w:val="center"/>
          </w:tcPr>
          <w:p>
            <w:pPr>
              <w:spacing w:before="20" w:after="20"/>
              <w:jc w:val="right"/>
            </w:pPr>
            <w:r>
              <w:rPr>
                <w:sz w:val="15"/>
                <w:szCs w:val="15"/>
              </w:rPr>
              <w:t xml:space="preserve">+2 %</w:t>
            </w:r>
          </w:p>
        </w:tc>
        <w:tc>
          <w:tcPr>
            <w:tcW w:w="1900" w:type="dxa"/>
            <w:shd w:val="clear" w:color="auto" w:fill="F2F4F7"/>
            <w:vAlign w:val="center"/>
          </w:tcPr>
          <w:p>
            <w:pPr>
              <w:spacing w:before="20" w:after="20"/>
              <w:jc w:val="right"/>
            </w:pPr>
            <w:r>
              <w:rPr>
                <w:sz w:val="15"/>
                <w:szCs w:val="15"/>
              </w:rPr>
              <w:t xml:space="preserve">−16 % à +10 %</w:t>
            </w:r>
          </w:p>
        </w:tc>
      </w:tr>
      <w:tr>
        <w:trPr>
          <w:cantSplit/>
        </w:trPr>
        <w:tc>
          <w:tcPr>
            <w:tcW w:w="4600" w:type="dxa"/>
            <w:vAlign w:val="center"/>
          </w:tcPr>
          <w:p>
            <w:pPr>
              <w:spacing w:before="20" w:after="20"/>
              <w:jc w:val="left"/>
            </w:pPr>
            <w:r>
              <w:rPr>
                <w:b/>
                <w:sz w:val="15"/>
                <w:szCs w:val="15"/>
              </w:rPr>
              <w:t xml:space="preserve">Consommation Chine</w:t>
            </w:r>
          </w:p>
        </w:tc>
        <w:tc>
          <w:tcPr>
            <w:tcW w:w="1650" w:type="dxa"/>
            <w:vAlign w:val="center"/>
          </w:tcPr>
          <w:p>
            <w:pPr>
              <w:spacing w:before="20" w:after="20"/>
              <w:jc w:val="right"/>
            </w:pPr>
            <w:r>
              <w:rPr>
                <w:sz w:val="15"/>
                <w:szCs w:val="15"/>
              </w:rPr>
              <w:t xml:space="preserve">−1 %</w:t>
            </w:r>
          </w:p>
        </w:tc>
        <w:tc>
          <w:tcPr>
            <w:tcW w:w="1650" w:type="dxa"/>
            <w:vAlign w:val="center"/>
          </w:tcPr>
          <w:p>
            <w:pPr>
              <w:spacing w:before="20" w:after="20"/>
              <w:jc w:val="right"/>
            </w:pPr>
            <w:r>
              <w:rPr>
                <w:sz w:val="15"/>
                <w:szCs w:val="15"/>
              </w:rPr>
              <w:t xml:space="preserve">0 %</w:t>
            </w:r>
          </w:p>
        </w:tc>
        <w:tc>
          <w:tcPr>
            <w:tcW w:w="1900" w:type="dxa"/>
            <w:vAlign w:val="center"/>
          </w:tcPr>
          <w:p>
            <w:pPr>
              <w:spacing w:before="20" w:after="20"/>
              <w:jc w:val="right"/>
            </w:pPr>
            <w:r>
              <w:rPr>
                <w:sz w:val="15"/>
                <w:szCs w:val="15"/>
              </w:rPr>
              <w:t xml:space="preserve">−4 % à +3 %</w:t>
            </w:r>
          </w:p>
        </w:tc>
      </w:tr>
      <w:tr>
        <w:trPr>
          <w:cantSplit/>
        </w:trPr>
        <w:tc>
          <w:tcPr>
            <w:tcW w:w="4600" w:type="dxa"/>
            <w:shd w:val="clear" w:color="auto" w:fill="F2F4F7"/>
            <w:vAlign w:val="center"/>
          </w:tcPr>
          <w:p>
            <w:pPr>
              <w:spacing w:before="20" w:after="20"/>
              <w:jc w:val="left"/>
            </w:pPr>
            <w:r>
              <w:rPr>
                <w:b/>
                <w:sz w:val="15"/>
                <w:szCs w:val="15"/>
              </w:rPr>
              <w:t xml:space="preserve">Consommation pays producteurs (Brésil + autres)</w:t>
            </w:r>
          </w:p>
        </w:tc>
        <w:tc>
          <w:tcPr>
            <w:tcW w:w="1650" w:type="dxa"/>
            <w:shd w:val="clear" w:color="auto" w:fill="F2F4F7"/>
            <w:vAlign w:val="center"/>
          </w:tcPr>
          <w:p>
            <w:pPr>
              <w:spacing w:before="20" w:after="20"/>
              <w:jc w:val="right"/>
            </w:pPr>
            <w:r>
              <w:rPr>
                <w:sz w:val="15"/>
                <w:szCs w:val="15"/>
              </w:rPr>
              <w:t xml:space="preserve">−4 %</w:t>
            </w:r>
          </w:p>
        </w:tc>
        <w:tc>
          <w:tcPr>
            <w:tcW w:w="1650" w:type="dxa"/>
            <w:shd w:val="clear" w:color="auto" w:fill="F2F4F7"/>
            <w:vAlign w:val="center"/>
          </w:tcPr>
          <w:p>
            <w:pPr>
              <w:spacing w:before="20" w:after="20"/>
              <w:jc w:val="right"/>
            </w:pPr>
            <w:r>
              <w:rPr>
                <w:sz w:val="15"/>
                <w:szCs w:val="15"/>
              </w:rPr>
              <w:t xml:space="preserve">−4 %</w:t>
            </w:r>
          </w:p>
        </w:tc>
        <w:tc>
          <w:tcPr>
            <w:tcW w:w="1900" w:type="dxa"/>
            <w:shd w:val="clear" w:color="auto" w:fill="F2F4F7"/>
            <w:vAlign w:val="center"/>
          </w:tcPr>
          <w:p>
            <w:pPr>
              <w:spacing w:before="20" w:after="20"/>
              <w:jc w:val="right"/>
            </w:pPr>
            <w:r>
              <w:rPr>
                <w:sz w:val="15"/>
                <w:szCs w:val="15"/>
              </w:rPr>
              <w:t xml:space="preserve">−11 % à +1 %</w:t>
            </w:r>
          </w:p>
        </w:tc>
      </w:tr>
      <w:tr>
        <w:trPr>
          <w:cantSplit/>
        </w:trPr>
        <w:tc>
          <w:tcPr>
            <w:tcW w:w="4600" w:type="dxa"/>
            <w:vAlign w:val="center"/>
          </w:tcPr>
          <w:p>
            <w:pPr>
              <w:spacing w:before="20" w:after="20"/>
              <w:jc w:val="left"/>
            </w:pPr>
            <w:r>
              <w:rPr>
                <w:b/>
                <w:sz w:val="15"/>
                <w:szCs w:val="15"/>
              </w:rPr>
              <w:t xml:space="preserve">Consommation reste du monde</w:t>
            </w:r>
          </w:p>
        </w:tc>
        <w:tc>
          <w:tcPr>
            <w:tcW w:w="1650" w:type="dxa"/>
            <w:vAlign w:val="center"/>
          </w:tcPr>
          <w:p>
            <w:pPr>
              <w:spacing w:before="20" w:after="20"/>
              <w:jc w:val="right"/>
            </w:pPr>
            <w:r>
              <w:rPr>
                <w:sz w:val="15"/>
                <w:szCs w:val="15"/>
              </w:rPr>
              <w:t xml:space="preserve">+1 %</w:t>
            </w:r>
          </w:p>
        </w:tc>
        <w:tc>
          <w:tcPr>
            <w:tcW w:w="1650" w:type="dxa"/>
            <w:vAlign w:val="center"/>
          </w:tcPr>
          <w:p>
            <w:pPr>
              <w:spacing w:before="20" w:after="20"/>
              <w:jc w:val="right"/>
            </w:pPr>
            <w:r>
              <w:rPr>
                <w:sz w:val="15"/>
                <w:szCs w:val="15"/>
              </w:rPr>
              <w:t xml:space="preserve">+1 %</w:t>
            </w:r>
          </w:p>
        </w:tc>
        <w:tc>
          <w:tcPr>
            <w:tcW w:w="1900" w:type="dxa"/>
            <w:vAlign w:val="center"/>
          </w:tcPr>
          <w:p>
            <w:pPr>
              <w:spacing w:before="20" w:after="20"/>
              <w:jc w:val="right"/>
            </w:pPr>
            <w:r>
              <w:rPr>
                <w:sz w:val="15"/>
                <w:szCs w:val="15"/>
              </w:rPr>
              <w:t xml:space="preserve">−6 % à +7 %</w:t>
            </w:r>
          </w:p>
        </w:tc>
      </w:tr>
      <w:tr>
        <w:trPr>
          <w:cantSplit/>
        </w:trPr>
        <w:tc>
          <w:tcPr>
            <w:tcW w:w="4600" w:type="dxa"/>
            <w:shd w:val="clear" w:color="auto" w:fill="F2F4F7"/>
            <w:vAlign w:val="center"/>
          </w:tcPr>
          <w:p>
            <w:pPr>
              <w:spacing w:before="20" w:after="20"/>
              <w:jc w:val="left"/>
            </w:pPr>
            <w:r>
              <w:rPr>
                <w:b/>
                <w:sz w:val="15"/>
                <w:szCs w:val="15"/>
              </w:rPr>
              <w:t xml:space="preserve">Structurel : tendance production − tendance conso</w:t>
            </w:r>
          </w:p>
        </w:tc>
        <w:tc>
          <w:tcPr>
            <w:tcW w:w="1650" w:type="dxa"/>
            <w:shd w:val="clear" w:color="auto" w:fill="F2F4F7"/>
            <w:vAlign w:val="center"/>
          </w:tcPr>
          <w:p>
            <w:pPr>
              <w:spacing w:before="20" w:after="20"/>
              <w:jc w:val="right"/>
            </w:pPr>
            <w:r>
              <w:rPr>
                <w:sz w:val="15"/>
                <w:szCs w:val="15"/>
              </w:rPr>
              <w:t xml:space="preserve">+6 %</w:t>
            </w:r>
          </w:p>
        </w:tc>
        <w:tc>
          <w:tcPr>
            <w:tcW w:w="1650" w:type="dxa"/>
            <w:shd w:val="clear" w:color="auto" w:fill="F2F4F7"/>
            <w:vAlign w:val="center"/>
          </w:tcPr>
          <w:p>
            <w:pPr>
              <w:spacing w:before="20" w:after="20"/>
              <w:jc w:val="right"/>
            </w:pPr>
            <w:r>
              <w:rPr>
                <w:sz w:val="15"/>
                <w:szCs w:val="15"/>
              </w:rPr>
              <w:t xml:space="preserve">+3 %</w:t>
            </w:r>
          </w:p>
        </w:tc>
        <w:tc>
          <w:tcPr>
            <w:tcW w:w="1900" w:type="dxa"/>
            <w:shd w:val="clear" w:color="auto" w:fill="F2F4F7"/>
            <w:vAlign w:val="center"/>
          </w:tcPr>
          <w:p>
            <w:pPr>
              <w:spacing w:before="20" w:after="20"/>
              <w:jc w:val="right"/>
            </w:pPr>
            <w:r>
              <w:rPr>
                <w:sz w:val="15"/>
                <w:szCs w:val="15"/>
              </w:rPr>
              <w:t xml:space="preserve">−6 % à +18 %</w:t>
            </w:r>
          </w:p>
        </w:tc>
      </w:tr>
      <w:tr>
        <w:trPr>
          <w:cantSplit/>
        </w:trPr>
        <w:tc>
          <w:tcPr>
            <w:tcW w:w="4600" w:type="dxa"/>
            <w:vAlign w:val="center"/>
          </w:tcPr>
          <w:p>
            <w:pPr>
              <w:spacing w:before="20" w:after="20"/>
              <w:jc w:val="left"/>
            </w:pPr>
            <w:r>
              <w:rPr>
                <w:b/>
                <w:sz w:val="15"/>
                <w:szCs w:val="15"/>
              </w:rPr>
              <w:t xml:space="preserve">Écart statistique des échanges</w:t>
            </w:r>
          </w:p>
        </w:tc>
        <w:tc>
          <w:tcPr>
            <w:tcW w:w="1650" w:type="dxa"/>
            <w:vAlign w:val="center"/>
          </w:tcPr>
          <w:p>
            <w:pPr>
              <w:spacing w:before="20" w:after="20"/>
              <w:jc w:val="right"/>
            </w:pPr>
            <w:r>
              <w:rPr>
                <w:sz w:val="15"/>
                <w:szCs w:val="15"/>
              </w:rPr>
              <w:t xml:space="preserve">−6 %</w:t>
            </w:r>
          </w:p>
        </w:tc>
        <w:tc>
          <w:tcPr>
            <w:tcW w:w="1650" w:type="dxa"/>
            <w:vAlign w:val="center"/>
          </w:tcPr>
          <w:p>
            <w:pPr>
              <w:spacing w:before="20" w:after="20"/>
              <w:jc w:val="right"/>
            </w:pPr>
            <w:r>
              <w:rPr>
                <w:sz w:val="15"/>
                <w:szCs w:val="15"/>
              </w:rPr>
              <w:t xml:space="preserve">−4 %</w:t>
            </w:r>
          </w:p>
        </w:tc>
        <w:tc>
          <w:tcPr>
            <w:tcW w:w="1900" w:type="dxa"/>
            <w:vAlign w:val="center"/>
          </w:tcPr>
          <w:p>
            <w:pPr>
              <w:spacing w:before="20" w:after="20"/>
              <w:jc w:val="right"/>
            </w:pPr>
            <w:r>
              <w:rPr>
                <w:sz w:val="15"/>
                <w:szCs w:val="15"/>
              </w:rPr>
              <w:t xml:space="preserve">−44 % à +18 %</w:t>
            </w:r>
          </w:p>
        </w:tc>
      </w:tr>
    </w:tbl>
    <w:p>
      <w:pPr>
        <w:spacing w:after="60"/>
      </w:pPr>
      <w:r>
        <w:t xml:space="preserve"/>
      </w:r>
    </w:p>
    <w:p>
      <w:pPr>
        <w:pStyle w:val="Note"/>
      </w:pPr>
      <w:r>
        <w:t xml:space="preserve">Part de covariance dans les variations annuelles du STU mondial, 2011/12-2025/26 (méthode en fin de rapport). Une part négative veut dire que le poste a plutôt compensé les autres. Intervalle : 4 000 rééchantillonnages des 15 campagnes. Les consommations de l'UE et de l'Asie importatrice sont apparentes (importations moins variation de stocks).</w:t>
      </w:r>
    </w:p>
    <w:p>
      <w:r>
        <w:t xml:space="preserve">Lecture : l'arabica brésilien arrive premier (44 %), et c'est le seul rang solide : il reste premier dans 90 % des tirages bootstrap, avec un intervalle de 19 % à 81 %. Le conilon brésilien suit (14 %). Tous les autres postes pèsent 10 % ou moins, avec des intervalles qui se chevauchent : on ne peut pas les classer entre eux. La taille d'un à-coup n'est pas son poids : la Colombie a des écarts de récolte importants (±1,8 M sacs) mais ils ne se retrouvent presque pas dans le STU mondial (1 %). Les postes « consommation » de l'UE et de l'Asie importatrice reflètent des mouvements de stocks et d'importations, dont le déstockage européen qui suit les hausses de prix, pas des chocs de demande. Enfin, environ un tiers des écarts de l'arabica brésilien vient de son cycle biennal (année haute, année basse), qui est prévisible.</w:t>
      </w:r>
    </w:p>
    <w:p>
      <w:r>
        <w:br w:type="page"/>
      </w:r>
    </w:p>
    <w:p>
      <w:pPr>
        <w:pStyle w:val="Heading1"/>
        <w:keepNext/>
      </w:pPr>
      <w:r>
        <w:t xml:space="preserve">4. Offre et consommation : la pente qui use le STU</w:t>
      </w:r>
    </w:p>
    <w:p>
      <w:pPr>
        <w:pStyle w:val="Figure"/>
        <w:keepNext/>
      </w:pPr>
      <w:r>
        <w:drawing>
          <wp:inline distT="0" distB="0" distL="0" distR="0">
            <wp:extent cx="5940000" cy="2585849"/>
            <wp:docPr id="5" name="Graphique 5"/>
            <wp:cNvGraphicFramePr>
              <a:graphicFrameLocks noChangeAspect="1"/>
            </wp:cNvGraphicFramePr>
            <a:graphic>
              <a:graphicData uri="http://schemas.openxmlformats.org/drawingml/2006/picture">
                <pic:pic>
                  <pic:nvPicPr>
                    <pic:cNvPr id="5" name="graphique5.png"/>
                    <pic:cNvPicPr/>
                  </pic:nvPicPr>
                  <pic:blipFill>
                    <a:blip r:embed="rIdImg5"/>
                    <a:stretch>
                      <a:fillRect/>
                    </a:stretch>
                  </pic:blipFill>
                  <pic:spPr>
                    <a:xfrm>
                      <a:off x="0" y="0"/>
                      <a:ext cx="5940000" cy="2585849"/>
                    </a:xfrm>
                    <a:prstGeom prst="rect">
                      <a:avLst/>
                    </a:prstGeom>
                  </pic:spPr>
                </pic:pic>
              </a:graphicData>
            </a:graphic>
          </wp:inline>
        </w:drawing>
      </w:r>
    </w:p>
    <w:p>
      <w:pPr>
        <w:pStyle w:val="Caption"/>
      </w:pPr>
      <w:r>
        <w:t xml:space="preserve">Graphique 5 — Tendance de la consommation par région, 2011/12-2025/26 (M sacs par an).</w:t>
      </w:r>
    </w:p>
    <w:tbl>
      <w:tblPr>
        <w:tblStyle w:val="Grille"/>
        <w:tblW w:w="98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70" w:type="dxa"/>
          <w:right w:w="70" w:type="dxa"/>
        </w:tblCellMar>
      </w:tblPr>
      <w:tblGrid>
        <w:gridCol w:w="5200"/>
        <w:gridCol w:w="2400"/>
        <w:gridCol w:w="2200"/>
      </w:tblGrid>
      <w:tr>
        <w:trPr>
          <w:tblHeader/>
        </w:trPr>
        <w:tc>
          <w:tcPr>
            <w:tcW w:w="5200" w:type="dxa"/>
            <w:shd w:val="clear" w:color="auto" w:fill="1F3864"/>
            <w:vAlign w:val="center"/>
          </w:tcPr>
          <w:p>
            <w:pPr>
              <w:spacing w:before="20" w:after="20"/>
              <w:jc w:val="center"/>
            </w:pPr>
            <w:r>
              <w:rPr>
                <w:b/>
                <w:color w:val="FFFFFF"/>
                <w:sz w:val="15"/>
                <w:szCs w:val="15"/>
              </w:rPr>
              <w:t xml:space="preserve">Poste</w:t>
            </w:r>
          </w:p>
        </w:tc>
        <w:tc>
          <w:tcPr>
            <w:tcW w:w="2400" w:type="dxa"/>
            <w:shd w:val="clear" w:color="auto" w:fill="1F3864"/>
            <w:vAlign w:val="center"/>
          </w:tcPr>
          <w:p>
            <w:pPr>
              <w:spacing w:before="20" w:after="20"/>
              <w:jc w:val="center"/>
            </w:pPr>
            <w:r>
              <w:rPr>
                <w:b/>
                <w:color w:val="FFFFFF"/>
                <w:sz w:val="15"/>
                <w:szCs w:val="15"/>
              </w:rPr>
              <w:t xml:space="preserve">Tendance 2011/12-2025/26 (M sacs par an)</w:t>
            </w:r>
          </w:p>
        </w:tc>
        <w:tc>
          <w:tcPr>
            <w:tcW w:w="2200" w:type="dxa"/>
            <w:shd w:val="clear" w:color="auto" w:fill="1F3864"/>
            <w:vAlign w:val="center"/>
          </w:tcPr>
          <w:p>
            <w:pPr>
              <w:spacing w:before="20" w:after="20"/>
              <w:jc w:val="center"/>
            </w:pPr>
            <w:r>
              <w:rPr>
                <w:b/>
                <w:color w:val="FFFFFF"/>
                <w:sz w:val="15"/>
                <w:szCs w:val="15"/>
              </w:rPr>
              <w:t xml:space="preserve">Niveau 2025/26 (M sacs)</w:t>
            </w:r>
          </w:p>
        </w:tc>
      </w:tr>
      <w:tr>
        <w:trPr>
          <w:cantSplit/>
        </w:trPr>
        <w:tc>
          <w:tcPr>
            <w:tcW w:w="5200" w:type="dxa"/>
            <w:vAlign w:val="center"/>
          </w:tcPr>
          <w:p>
            <w:pPr>
              <w:spacing w:before="20" w:after="20"/>
              <w:jc w:val="left"/>
            </w:pPr>
            <w:r>
              <w:rPr>
                <w:b/>
                <w:sz w:val="15"/>
                <w:szCs w:val="15"/>
              </w:rPr>
              <w:t xml:space="preserve">Production Brésil conilon</w:t>
            </w:r>
          </w:p>
        </w:tc>
        <w:tc>
          <w:tcPr>
            <w:tcW w:w="2400" w:type="dxa"/>
            <w:vAlign w:val="center"/>
          </w:tcPr>
          <w:p>
            <w:pPr>
              <w:spacing w:before="20" w:after="20"/>
              <w:jc w:val="right"/>
            </w:pPr>
            <w:r>
              <w:rPr>
                <w:sz w:val="15"/>
                <w:szCs w:val="15"/>
              </w:rPr>
              <w:t xml:space="preserve">+0,75</w:t>
            </w:r>
          </w:p>
        </w:tc>
        <w:tc>
          <w:tcPr>
            <w:tcW w:w="2200" w:type="dxa"/>
            <w:vAlign w:val="center"/>
          </w:tcPr>
          <w:p>
            <w:pPr>
              <w:spacing w:before="20" w:after="20"/>
              <w:jc w:val="right"/>
            </w:pPr>
            <w:r>
              <w:rPr>
                <w:sz w:val="15"/>
                <w:szCs w:val="15"/>
              </w:rPr>
              <w:t xml:space="preserve">25,0</w:t>
            </w:r>
          </w:p>
        </w:tc>
      </w:tr>
      <w:tr>
        <w:trPr>
          <w:cantSplit/>
        </w:trPr>
        <w:tc>
          <w:tcPr>
            <w:tcW w:w="5200" w:type="dxa"/>
            <w:shd w:val="clear" w:color="auto" w:fill="F2F4F7"/>
            <w:vAlign w:val="center"/>
          </w:tcPr>
          <w:p>
            <w:pPr>
              <w:spacing w:before="20" w:after="20"/>
              <w:jc w:val="left"/>
            </w:pPr>
            <w:r>
              <w:rPr>
                <w:b/>
                <w:sz w:val="15"/>
                <w:szCs w:val="15"/>
              </w:rPr>
              <w:t xml:space="preserve">Production Éthiopie</w:t>
            </w:r>
          </w:p>
        </w:tc>
        <w:tc>
          <w:tcPr>
            <w:tcW w:w="2400" w:type="dxa"/>
            <w:shd w:val="clear" w:color="auto" w:fill="F2F4F7"/>
            <w:vAlign w:val="center"/>
          </w:tcPr>
          <w:p>
            <w:pPr>
              <w:spacing w:before="20" w:after="20"/>
              <w:jc w:val="right"/>
            </w:pPr>
            <w:r>
              <w:rPr>
                <w:sz w:val="15"/>
                <w:szCs w:val="15"/>
              </w:rPr>
              <w:t xml:space="preserve">+0,32</w:t>
            </w:r>
          </w:p>
        </w:tc>
        <w:tc>
          <w:tcPr>
            <w:tcW w:w="2200" w:type="dxa"/>
            <w:shd w:val="clear" w:color="auto" w:fill="F2F4F7"/>
            <w:vAlign w:val="center"/>
          </w:tcPr>
          <w:p>
            <w:pPr>
              <w:spacing w:before="20" w:after="20"/>
              <w:jc w:val="right"/>
            </w:pPr>
            <w:r>
              <w:rPr>
                <w:sz w:val="15"/>
                <w:szCs w:val="15"/>
              </w:rPr>
              <w:t xml:space="preserve">11,6</w:t>
            </w:r>
          </w:p>
        </w:tc>
      </w:tr>
      <w:tr>
        <w:trPr>
          <w:cantSplit/>
        </w:trPr>
        <w:tc>
          <w:tcPr>
            <w:tcW w:w="5200" w:type="dxa"/>
            <w:vAlign w:val="center"/>
          </w:tcPr>
          <w:p>
            <w:pPr>
              <w:spacing w:before="20" w:after="20"/>
              <w:jc w:val="left"/>
            </w:pPr>
            <w:r>
              <w:rPr>
                <w:b/>
                <w:sz w:val="15"/>
                <w:szCs w:val="15"/>
              </w:rPr>
              <w:t xml:space="preserve">Production Ouganda</w:t>
            </w:r>
          </w:p>
        </w:tc>
        <w:tc>
          <w:tcPr>
            <w:tcW w:w="2400" w:type="dxa"/>
            <w:vAlign w:val="center"/>
          </w:tcPr>
          <w:p>
            <w:pPr>
              <w:spacing w:before="20" w:after="20"/>
              <w:jc w:val="right"/>
            </w:pPr>
            <w:r>
              <w:rPr>
                <w:sz w:val="15"/>
                <w:szCs w:val="15"/>
              </w:rPr>
              <w:t xml:space="preserve">+0,30</w:t>
            </w:r>
          </w:p>
        </w:tc>
        <w:tc>
          <w:tcPr>
            <w:tcW w:w="2200" w:type="dxa"/>
            <w:vAlign w:val="center"/>
          </w:tcPr>
          <w:p>
            <w:pPr>
              <w:spacing w:before="20" w:after="20"/>
              <w:jc w:val="right"/>
            </w:pPr>
            <w:r>
              <w:rPr>
                <w:sz w:val="15"/>
                <w:szCs w:val="15"/>
              </w:rPr>
              <w:t xml:space="preserve">7,1</w:t>
            </w:r>
          </w:p>
        </w:tc>
      </w:tr>
      <w:tr>
        <w:trPr>
          <w:cantSplit/>
        </w:trPr>
        <w:tc>
          <w:tcPr>
            <w:tcW w:w="5200" w:type="dxa"/>
            <w:shd w:val="clear" w:color="auto" w:fill="F2F4F7"/>
            <w:vAlign w:val="center"/>
          </w:tcPr>
          <w:p>
            <w:pPr>
              <w:spacing w:before="20" w:after="20"/>
              <w:jc w:val="left"/>
            </w:pPr>
            <w:r>
              <w:rPr>
                <w:b/>
                <w:sz w:val="15"/>
                <w:szCs w:val="15"/>
              </w:rPr>
              <w:t xml:space="preserve">Production Brésil arabica</w:t>
            </w:r>
          </w:p>
        </w:tc>
        <w:tc>
          <w:tcPr>
            <w:tcW w:w="2400" w:type="dxa"/>
            <w:shd w:val="clear" w:color="auto" w:fill="F2F4F7"/>
            <w:vAlign w:val="center"/>
          </w:tcPr>
          <w:p>
            <w:pPr>
              <w:spacing w:before="20" w:after="20"/>
              <w:jc w:val="right"/>
            </w:pPr>
            <w:r>
              <w:rPr>
                <w:sz w:val="15"/>
                <w:szCs w:val="15"/>
              </w:rPr>
              <w:t xml:space="preserve">+0,27</w:t>
            </w:r>
          </w:p>
        </w:tc>
        <w:tc>
          <w:tcPr>
            <w:tcW w:w="2200" w:type="dxa"/>
            <w:shd w:val="clear" w:color="auto" w:fill="F2F4F7"/>
            <w:vAlign w:val="center"/>
          </w:tcPr>
          <w:p>
            <w:pPr>
              <w:spacing w:before="20" w:after="20"/>
              <w:jc w:val="right"/>
            </w:pPr>
            <w:r>
              <w:rPr>
                <w:sz w:val="15"/>
                <w:szCs w:val="15"/>
              </w:rPr>
              <w:t xml:space="preserve">38,0</w:t>
            </w:r>
          </w:p>
        </w:tc>
      </w:tr>
      <w:tr>
        <w:trPr>
          <w:cantSplit/>
        </w:trPr>
        <w:tc>
          <w:tcPr>
            <w:tcW w:w="5200" w:type="dxa"/>
            <w:vAlign w:val="center"/>
          </w:tcPr>
          <w:p>
            <w:pPr>
              <w:spacing w:before="20" w:after="20"/>
              <w:jc w:val="left"/>
            </w:pPr>
            <w:r>
              <w:rPr>
                <w:b/>
                <w:sz w:val="15"/>
                <w:szCs w:val="15"/>
              </w:rPr>
              <w:t xml:space="preserve">Production Vietnam</w:t>
            </w:r>
          </w:p>
        </w:tc>
        <w:tc>
          <w:tcPr>
            <w:tcW w:w="2400" w:type="dxa"/>
            <w:vAlign w:val="center"/>
          </w:tcPr>
          <w:p>
            <w:pPr>
              <w:spacing w:before="20" w:after="20"/>
              <w:jc w:val="right"/>
            </w:pPr>
            <w:r>
              <w:rPr>
                <w:sz w:val="15"/>
                <w:szCs w:val="15"/>
              </w:rPr>
              <w:t xml:space="preserve">+0,22</w:t>
            </w:r>
          </w:p>
        </w:tc>
        <w:tc>
          <w:tcPr>
            <w:tcW w:w="2200" w:type="dxa"/>
            <w:vAlign w:val="center"/>
          </w:tcPr>
          <w:p>
            <w:pPr>
              <w:spacing w:before="20" w:after="20"/>
              <w:jc w:val="right"/>
            </w:pPr>
            <w:r>
              <w:rPr>
                <w:sz w:val="15"/>
                <w:szCs w:val="15"/>
              </w:rPr>
              <w:t xml:space="preserve">31,7</w:t>
            </w:r>
          </w:p>
        </w:tc>
      </w:tr>
      <w:tr>
        <w:trPr>
          <w:cantSplit/>
        </w:trPr>
        <w:tc>
          <w:tcPr>
            <w:tcW w:w="5200" w:type="dxa"/>
            <w:shd w:val="clear" w:color="auto" w:fill="F2F4F7"/>
            <w:vAlign w:val="center"/>
          </w:tcPr>
          <w:p>
            <w:pPr>
              <w:spacing w:before="20" w:after="20"/>
              <w:jc w:val="left"/>
            </w:pPr>
            <w:r>
              <w:rPr>
                <w:b/>
                <w:sz w:val="15"/>
                <w:szCs w:val="15"/>
              </w:rPr>
              <w:t xml:space="preserve">Production Colombie</w:t>
            </w:r>
          </w:p>
        </w:tc>
        <w:tc>
          <w:tcPr>
            <w:tcW w:w="2400" w:type="dxa"/>
            <w:shd w:val="clear" w:color="auto" w:fill="F2F4F7"/>
            <w:vAlign w:val="center"/>
          </w:tcPr>
          <w:p>
            <w:pPr>
              <w:spacing w:before="20" w:after="20"/>
              <w:jc w:val="right"/>
            </w:pPr>
            <w:r>
              <w:rPr>
                <w:sz w:val="15"/>
                <w:szCs w:val="15"/>
              </w:rPr>
              <w:t xml:space="preserve">+0,17</w:t>
            </w:r>
          </w:p>
        </w:tc>
        <w:tc>
          <w:tcPr>
            <w:tcW w:w="2200" w:type="dxa"/>
            <w:shd w:val="clear" w:color="auto" w:fill="F2F4F7"/>
            <w:vAlign w:val="center"/>
          </w:tcPr>
          <w:p>
            <w:pPr>
              <w:spacing w:before="20" w:after="20"/>
              <w:jc w:val="right"/>
            </w:pPr>
            <w:r>
              <w:rPr>
                <w:sz w:val="15"/>
                <w:szCs w:val="15"/>
              </w:rPr>
              <w:t xml:space="preserve">12,5</w:t>
            </w:r>
          </w:p>
        </w:tc>
      </w:tr>
      <w:tr>
        <w:trPr>
          <w:cantSplit/>
        </w:trPr>
        <w:tc>
          <w:tcPr>
            <w:tcW w:w="5200" w:type="dxa"/>
            <w:vAlign w:val="center"/>
          </w:tcPr>
          <w:p>
            <w:pPr>
              <w:spacing w:before="20" w:after="20"/>
              <w:jc w:val="left"/>
            </w:pPr>
            <w:r>
              <w:rPr>
                <w:b/>
                <w:sz w:val="15"/>
                <w:szCs w:val="15"/>
              </w:rPr>
              <w:t xml:space="preserve">Production Inde</w:t>
            </w:r>
          </w:p>
        </w:tc>
        <w:tc>
          <w:tcPr>
            <w:tcW w:w="2400" w:type="dxa"/>
            <w:vAlign w:val="center"/>
          </w:tcPr>
          <w:p>
            <w:pPr>
              <w:spacing w:before="20" w:after="20"/>
              <w:jc w:val="right"/>
            </w:pPr>
            <w:r>
              <w:rPr>
                <w:sz w:val="15"/>
                <w:szCs w:val="15"/>
              </w:rPr>
              <w:t xml:space="preserve">+0,08</w:t>
            </w:r>
          </w:p>
        </w:tc>
        <w:tc>
          <w:tcPr>
            <w:tcW w:w="2200" w:type="dxa"/>
            <w:vAlign w:val="center"/>
          </w:tcPr>
          <w:p>
            <w:pPr>
              <w:spacing w:before="20" w:after="20"/>
              <w:jc w:val="right"/>
            </w:pPr>
            <w:r>
              <w:rPr>
                <w:sz w:val="15"/>
                <w:szCs w:val="15"/>
              </w:rPr>
              <w:t xml:space="preserve">6,4</w:t>
            </w:r>
          </w:p>
        </w:tc>
      </w:tr>
      <w:tr>
        <w:trPr>
          <w:cantSplit/>
        </w:trPr>
        <w:tc>
          <w:tcPr>
            <w:tcW w:w="5200" w:type="dxa"/>
            <w:shd w:val="clear" w:color="auto" w:fill="F2F4F7"/>
            <w:vAlign w:val="center"/>
          </w:tcPr>
          <w:p>
            <w:pPr>
              <w:spacing w:before="20" w:after="20"/>
              <w:jc w:val="left"/>
            </w:pPr>
            <w:r>
              <w:rPr>
                <w:b/>
                <w:sz w:val="15"/>
                <w:szCs w:val="15"/>
              </w:rPr>
              <w:t xml:space="preserve">Production Indonésie</w:t>
            </w:r>
          </w:p>
        </w:tc>
        <w:tc>
          <w:tcPr>
            <w:tcW w:w="2400" w:type="dxa"/>
            <w:shd w:val="clear" w:color="auto" w:fill="F2F4F7"/>
            <w:vAlign w:val="center"/>
          </w:tcPr>
          <w:p>
            <w:pPr>
              <w:spacing w:before="20" w:after="20"/>
              <w:jc w:val="right"/>
            </w:pPr>
            <w:r>
              <w:rPr>
                <w:sz w:val="15"/>
                <w:szCs w:val="15"/>
              </w:rPr>
              <w:t xml:space="preserve">+0,01</w:t>
            </w:r>
          </w:p>
        </w:tc>
        <w:tc>
          <w:tcPr>
            <w:tcW w:w="2200" w:type="dxa"/>
            <w:shd w:val="clear" w:color="auto" w:fill="F2F4F7"/>
            <w:vAlign w:val="center"/>
          </w:tcPr>
          <w:p>
            <w:pPr>
              <w:spacing w:before="20" w:after="20"/>
              <w:jc w:val="right"/>
            </w:pPr>
            <w:r>
              <w:rPr>
                <w:sz w:val="15"/>
                <w:szCs w:val="15"/>
              </w:rPr>
              <w:t xml:space="preserve">12,4</w:t>
            </w:r>
          </w:p>
        </w:tc>
      </w:tr>
      <w:tr>
        <w:trPr>
          <w:cantSplit/>
        </w:trPr>
        <w:tc>
          <w:tcPr>
            <w:tcW w:w="5200" w:type="dxa"/>
            <w:vAlign w:val="center"/>
          </w:tcPr>
          <w:p>
            <w:pPr>
              <w:spacing w:before="20" w:after="20"/>
              <w:jc w:val="left"/>
            </w:pPr>
            <w:r>
              <w:rPr>
                <w:b/>
                <w:sz w:val="15"/>
                <w:szCs w:val="15"/>
              </w:rPr>
              <w:t xml:space="preserve">Production autres Asie-Océanie</w:t>
            </w:r>
          </w:p>
        </w:tc>
        <w:tc>
          <w:tcPr>
            <w:tcW w:w="2400" w:type="dxa"/>
            <w:vAlign w:val="center"/>
          </w:tcPr>
          <w:p>
            <w:pPr>
              <w:spacing w:before="20" w:after="20"/>
              <w:jc w:val="right"/>
            </w:pPr>
            <w:r>
              <w:rPr>
                <w:sz w:val="15"/>
                <w:szCs w:val="15"/>
              </w:rPr>
              <w:t xml:space="preserve">−0,03</w:t>
            </w:r>
          </w:p>
        </w:tc>
        <w:tc>
          <w:tcPr>
            <w:tcW w:w="2200" w:type="dxa"/>
            <w:vAlign w:val="center"/>
          </w:tcPr>
          <w:p>
            <w:pPr>
              <w:spacing w:before="20" w:after="20"/>
              <w:jc w:val="right"/>
            </w:pPr>
            <w:r>
              <w:rPr>
                <w:sz w:val="15"/>
                <w:szCs w:val="15"/>
              </w:rPr>
              <w:t xml:space="preserve">6,0</w:t>
            </w:r>
          </w:p>
        </w:tc>
      </w:tr>
      <w:tr>
        <w:trPr>
          <w:cantSplit/>
        </w:trPr>
        <w:tc>
          <w:tcPr>
            <w:tcW w:w="5200" w:type="dxa"/>
            <w:shd w:val="clear" w:color="auto" w:fill="F2F4F7"/>
            <w:vAlign w:val="center"/>
          </w:tcPr>
          <w:p>
            <w:pPr>
              <w:spacing w:before="20" w:after="20"/>
              <w:jc w:val="left"/>
            </w:pPr>
            <w:r>
              <w:rPr>
                <w:b/>
                <w:sz w:val="15"/>
                <w:szCs w:val="15"/>
              </w:rPr>
              <w:t xml:space="preserve">Production Pérou + Amérique du Sud</w:t>
            </w:r>
          </w:p>
        </w:tc>
        <w:tc>
          <w:tcPr>
            <w:tcW w:w="2400" w:type="dxa"/>
            <w:shd w:val="clear" w:color="auto" w:fill="F2F4F7"/>
            <w:vAlign w:val="center"/>
          </w:tcPr>
          <w:p>
            <w:pPr>
              <w:spacing w:before="20" w:after="20"/>
              <w:jc w:val="right"/>
            </w:pPr>
            <w:r>
              <w:rPr>
                <w:sz w:val="15"/>
                <w:szCs w:val="15"/>
              </w:rPr>
              <w:t xml:space="preserve">−0,03</w:t>
            </w:r>
          </w:p>
        </w:tc>
        <w:tc>
          <w:tcPr>
            <w:tcW w:w="2200" w:type="dxa"/>
            <w:shd w:val="clear" w:color="auto" w:fill="F2F4F7"/>
            <w:vAlign w:val="center"/>
          </w:tcPr>
          <w:p>
            <w:pPr>
              <w:spacing w:before="20" w:after="20"/>
              <w:jc w:val="right"/>
            </w:pPr>
            <w:r>
              <w:rPr>
                <w:sz w:val="15"/>
                <w:szCs w:val="15"/>
              </w:rPr>
              <w:t xml:space="preserve">5,7</w:t>
            </w:r>
          </w:p>
        </w:tc>
      </w:tr>
      <w:tr>
        <w:trPr>
          <w:cantSplit/>
        </w:trPr>
        <w:tc>
          <w:tcPr>
            <w:tcW w:w="5200" w:type="dxa"/>
            <w:vAlign w:val="center"/>
          </w:tcPr>
          <w:p>
            <w:pPr>
              <w:spacing w:before="20" w:after="20"/>
              <w:jc w:val="left"/>
            </w:pPr>
            <w:r>
              <w:rPr>
                <w:b/>
                <w:sz w:val="15"/>
                <w:szCs w:val="15"/>
              </w:rPr>
              <w:t xml:space="preserve">Production autres Afrique</w:t>
            </w:r>
          </w:p>
        </w:tc>
        <w:tc>
          <w:tcPr>
            <w:tcW w:w="2400" w:type="dxa"/>
            <w:vAlign w:val="center"/>
          </w:tcPr>
          <w:p>
            <w:pPr>
              <w:spacing w:before="20" w:after="20"/>
              <w:jc w:val="right"/>
            </w:pPr>
            <w:r>
              <w:rPr>
                <w:sz w:val="15"/>
                <w:szCs w:val="15"/>
              </w:rPr>
              <w:t xml:space="preserve">−0,09</w:t>
            </w:r>
          </w:p>
        </w:tc>
        <w:tc>
          <w:tcPr>
            <w:tcW w:w="2200" w:type="dxa"/>
            <w:vAlign w:val="center"/>
          </w:tcPr>
          <w:p>
            <w:pPr>
              <w:spacing w:before="20" w:after="20"/>
              <w:jc w:val="right"/>
            </w:pPr>
            <w:r>
              <w:rPr>
                <w:sz w:val="15"/>
                <w:szCs w:val="15"/>
              </w:rPr>
              <w:t xml:space="preserve">5,0</w:t>
            </w:r>
          </w:p>
        </w:tc>
      </w:tr>
      <w:tr>
        <w:trPr>
          <w:cantSplit/>
        </w:trPr>
        <w:tc>
          <w:tcPr>
            <w:tcW w:w="5200" w:type="dxa"/>
            <w:shd w:val="clear" w:color="auto" w:fill="F2F4F7"/>
            <w:vAlign w:val="center"/>
          </w:tcPr>
          <w:p>
            <w:pPr>
              <w:spacing w:before="20" w:after="20"/>
              <w:jc w:val="left"/>
            </w:pPr>
            <w:r>
              <w:rPr>
                <w:b/>
                <w:sz w:val="15"/>
                <w:szCs w:val="15"/>
              </w:rPr>
              <w:t xml:space="preserve">Production Amérique centrale + Mexique</w:t>
            </w:r>
          </w:p>
        </w:tc>
        <w:tc>
          <w:tcPr>
            <w:tcW w:w="2400" w:type="dxa"/>
            <w:shd w:val="clear" w:color="auto" w:fill="F2F4F7"/>
            <w:vAlign w:val="center"/>
          </w:tcPr>
          <w:p>
            <w:pPr>
              <w:spacing w:before="20" w:after="20"/>
              <w:jc w:val="right"/>
            </w:pPr>
            <w:r>
              <w:rPr>
                <w:sz w:val="15"/>
                <w:szCs w:val="15"/>
              </w:rPr>
              <w:t xml:space="preserve">−0,11</w:t>
            </w:r>
          </w:p>
        </w:tc>
        <w:tc>
          <w:tcPr>
            <w:tcW w:w="2200" w:type="dxa"/>
            <w:shd w:val="clear" w:color="auto" w:fill="F2F4F7"/>
            <w:vAlign w:val="center"/>
          </w:tcPr>
          <w:p>
            <w:pPr>
              <w:spacing w:before="20" w:after="20"/>
              <w:jc w:val="right"/>
            </w:pPr>
            <w:r>
              <w:rPr>
                <w:sz w:val="15"/>
                <w:szCs w:val="15"/>
              </w:rPr>
              <w:t xml:space="preserve">17,4</w:t>
            </w:r>
          </w:p>
        </w:tc>
      </w:tr>
      <w:tr>
        <w:trPr>
          <w:cantSplit/>
        </w:trPr>
        <w:tc>
          <w:tcPr>
            <w:tcW w:w="5200" w:type="dxa"/>
            <w:vAlign w:val="center"/>
          </w:tcPr>
          <w:p>
            <w:pPr>
              <w:spacing w:before="20" w:after="20"/>
              <w:jc w:val="left"/>
            </w:pPr>
            <w:r>
              <w:rPr>
                <w:b/>
                <w:sz w:val="15"/>
                <w:szCs w:val="15"/>
              </w:rPr>
              <w:t xml:space="preserve">Production monde</w:t>
            </w:r>
          </w:p>
        </w:tc>
        <w:tc>
          <w:tcPr>
            <w:tcW w:w="2400" w:type="dxa"/>
            <w:vAlign w:val="center"/>
          </w:tcPr>
          <w:p>
            <w:pPr>
              <w:spacing w:before="20" w:after="20"/>
              <w:jc w:val="right"/>
            </w:pPr>
            <w:r>
              <w:rPr>
                <w:sz w:val="15"/>
                <w:szCs w:val="15"/>
              </w:rPr>
              <w:t xml:space="preserve">+1,85</w:t>
            </w:r>
          </w:p>
        </w:tc>
        <w:tc>
          <w:tcPr>
            <w:tcW w:w="2200" w:type="dxa"/>
            <w:vAlign w:val="center"/>
          </w:tcPr>
          <w:p>
            <w:pPr>
              <w:spacing w:before="20" w:after="20"/>
              <w:jc w:val="right"/>
            </w:pPr>
            <w:r>
              <w:rPr>
                <w:sz w:val="15"/>
                <w:szCs w:val="15"/>
              </w:rPr>
              <w:t xml:space="preserve">178,8</w:t>
            </w:r>
          </w:p>
        </w:tc>
      </w:tr>
      <w:tr>
        <w:trPr>
          <w:cantSplit/>
        </w:trPr>
        <w:tc>
          <w:tcPr>
            <w:tcW w:w="5200" w:type="dxa"/>
            <w:shd w:val="clear" w:color="auto" w:fill="F2F4F7"/>
            <w:vAlign w:val="center"/>
          </w:tcPr>
          <w:p>
            <w:pPr>
              <w:spacing w:before="20" w:after="20"/>
              <w:jc w:val="left"/>
            </w:pPr>
            <w:r>
              <w:rPr>
                <w:b/>
                <w:sz w:val="15"/>
                <w:szCs w:val="15"/>
              </w:rPr>
              <w:t xml:space="preserve">Consommation autres origines (conso intérieure)</w:t>
            </w:r>
          </w:p>
        </w:tc>
        <w:tc>
          <w:tcPr>
            <w:tcW w:w="2400" w:type="dxa"/>
            <w:shd w:val="clear" w:color="auto" w:fill="F2F4F7"/>
            <w:vAlign w:val="center"/>
          </w:tcPr>
          <w:p>
            <w:pPr>
              <w:spacing w:before="20" w:after="20"/>
              <w:jc w:val="right"/>
            </w:pPr>
            <w:r>
              <w:rPr>
                <w:sz w:val="15"/>
                <w:szCs w:val="15"/>
              </w:rPr>
              <w:t xml:space="preserve">+0,62</w:t>
            </w:r>
          </w:p>
        </w:tc>
        <w:tc>
          <w:tcPr>
            <w:tcW w:w="2200" w:type="dxa"/>
            <w:shd w:val="clear" w:color="auto" w:fill="F2F4F7"/>
            <w:vAlign w:val="center"/>
          </w:tcPr>
          <w:p>
            <w:pPr>
              <w:spacing w:before="20" w:after="20"/>
              <w:jc w:val="right"/>
            </w:pPr>
            <w:r>
              <w:rPr>
                <w:sz w:val="15"/>
                <w:szCs w:val="15"/>
              </w:rPr>
              <w:t xml:space="preserve">26,7</w:t>
            </w:r>
          </w:p>
        </w:tc>
      </w:tr>
      <w:tr>
        <w:trPr>
          <w:cantSplit/>
        </w:trPr>
        <w:tc>
          <w:tcPr>
            <w:tcW w:w="5200" w:type="dxa"/>
            <w:vAlign w:val="center"/>
          </w:tcPr>
          <w:p>
            <w:pPr>
              <w:spacing w:before="20" w:after="20"/>
              <w:jc w:val="left"/>
            </w:pPr>
            <w:r>
              <w:rPr>
                <w:b/>
                <w:sz w:val="15"/>
                <w:szCs w:val="15"/>
              </w:rPr>
              <w:t xml:space="preserve">Consommation reste du monde importateur</w:t>
            </w:r>
          </w:p>
        </w:tc>
        <w:tc>
          <w:tcPr>
            <w:tcW w:w="2400" w:type="dxa"/>
            <w:vAlign w:val="center"/>
          </w:tcPr>
          <w:p>
            <w:pPr>
              <w:spacing w:before="20" w:after="20"/>
              <w:jc w:val="right"/>
            </w:pPr>
            <w:r>
              <w:rPr>
                <w:sz w:val="15"/>
                <w:szCs w:val="15"/>
              </w:rPr>
              <w:t xml:space="preserve">+0,45</w:t>
            </w:r>
          </w:p>
        </w:tc>
        <w:tc>
          <w:tcPr>
            <w:tcW w:w="2200" w:type="dxa"/>
            <w:vAlign w:val="center"/>
          </w:tcPr>
          <w:p>
            <w:pPr>
              <w:spacing w:before="20" w:after="20"/>
              <w:jc w:val="right"/>
            </w:pPr>
            <w:r>
              <w:rPr>
                <w:sz w:val="15"/>
                <w:szCs w:val="15"/>
              </w:rPr>
              <w:t xml:space="preserve">29,1</w:t>
            </w:r>
          </w:p>
        </w:tc>
      </w:tr>
      <w:tr>
        <w:trPr>
          <w:cantSplit/>
        </w:trPr>
        <w:tc>
          <w:tcPr>
            <w:tcW w:w="5200" w:type="dxa"/>
            <w:shd w:val="clear" w:color="auto" w:fill="F2F4F7"/>
            <w:vAlign w:val="center"/>
          </w:tcPr>
          <w:p>
            <w:pPr>
              <w:spacing w:before="20" w:after="20"/>
              <w:jc w:val="left"/>
            </w:pPr>
            <w:r>
              <w:rPr>
                <w:b/>
                <w:sz w:val="15"/>
                <w:szCs w:val="15"/>
              </w:rPr>
              <w:t xml:space="preserve">Consommation Chine</w:t>
            </w:r>
          </w:p>
        </w:tc>
        <w:tc>
          <w:tcPr>
            <w:tcW w:w="2400" w:type="dxa"/>
            <w:shd w:val="clear" w:color="auto" w:fill="F2F4F7"/>
            <w:vAlign w:val="center"/>
          </w:tcPr>
          <w:p>
            <w:pPr>
              <w:spacing w:before="20" w:after="20"/>
              <w:jc w:val="right"/>
            </w:pPr>
            <w:r>
              <w:rPr>
                <w:sz w:val="15"/>
                <w:szCs w:val="15"/>
              </w:rPr>
              <w:t xml:space="preserve">+0,37</w:t>
            </w:r>
          </w:p>
        </w:tc>
        <w:tc>
          <w:tcPr>
            <w:tcW w:w="2200" w:type="dxa"/>
            <w:shd w:val="clear" w:color="auto" w:fill="F2F4F7"/>
            <w:vAlign w:val="center"/>
          </w:tcPr>
          <w:p>
            <w:pPr>
              <w:spacing w:before="20" w:after="20"/>
              <w:jc w:val="right"/>
            </w:pPr>
            <w:r>
              <w:rPr>
                <w:sz w:val="15"/>
                <w:szCs w:val="15"/>
              </w:rPr>
              <w:t xml:space="preserve">6,4</w:t>
            </w:r>
          </w:p>
        </w:tc>
      </w:tr>
      <w:tr>
        <w:trPr>
          <w:cantSplit/>
        </w:trPr>
        <w:tc>
          <w:tcPr>
            <w:tcW w:w="5200" w:type="dxa"/>
            <w:vAlign w:val="center"/>
          </w:tcPr>
          <w:p>
            <w:pPr>
              <w:spacing w:before="20" w:after="20"/>
              <w:jc w:val="left"/>
            </w:pPr>
            <w:r>
              <w:rPr>
                <w:b/>
                <w:sz w:val="15"/>
                <w:szCs w:val="15"/>
              </w:rPr>
              <w:t xml:space="preserve">Consommation autres Asie importatrice</w:t>
            </w:r>
          </w:p>
        </w:tc>
        <w:tc>
          <w:tcPr>
            <w:tcW w:w="2400" w:type="dxa"/>
            <w:vAlign w:val="center"/>
          </w:tcPr>
          <w:p>
            <w:pPr>
              <w:spacing w:before="20" w:after="20"/>
              <w:jc w:val="right"/>
            </w:pPr>
            <w:r>
              <w:rPr>
                <w:sz w:val="15"/>
                <w:szCs w:val="15"/>
              </w:rPr>
              <w:t xml:space="preserve">+0,35</w:t>
            </w:r>
          </w:p>
        </w:tc>
        <w:tc>
          <w:tcPr>
            <w:tcW w:w="2200" w:type="dxa"/>
            <w:vAlign w:val="center"/>
          </w:tcPr>
          <w:p>
            <w:pPr>
              <w:spacing w:before="20" w:after="20"/>
              <w:jc w:val="right"/>
            </w:pPr>
            <w:r>
              <w:rPr>
                <w:sz w:val="15"/>
                <w:szCs w:val="15"/>
              </w:rPr>
              <w:t xml:space="preserve">10,6</w:t>
            </w:r>
          </w:p>
        </w:tc>
      </w:tr>
      <w:tr>
        <w:trPr>
          <w:cantSplit/>
        </w:trPr>
        <w:tc>
          <w:tcPr>
            <w:tcW w:w="5200" w:type="dxa"/>
            <w:shd w:val="clear" w:color="auto" w:fill="F2F4F7"/>
            <w:vAlign w:val="center"/>
          </w:tcPr>
          <w:p>
            <w:pPr>
              <w:spacing w:before="20" w:after="20"/>
              <w:jc w:val="left"/>
            </w:pPr>
            <w:r>
              <w:rPr>
                <w:b/>
                <w:sz w:val="15"/>
                <w:szCs w:val="15"/>
              </w:rPr>
              <w:t xml:space="preserve">Consommation UE + Royaume-Uni</w:t>
            </w:r>
          </w:p>
        </w:tc>
        <w:tc>
          <w:tcPr>
            <w:tcW w:w="2400" w:type="dxa"/>
            <w:shd w:val="clear" w:color="auto" w:fill="F2F4F7"/>
            <w:vAlign w:val="center"/>
          </w:tcPr>
          <w:p>
            <w:pPr>
              <w:spacing w:before="20" w:after="20"/>
              <w:jc w:val="right"/>
            </w:pPr>
            <w:r>
              <w:rPr>
                <w:sz w:val="15"/>
                <w:szCs w:val="15"/>
              </w:rPr>
              <w:t xml:space="preserve">+0,20</w:t>
            </w:r>
          </w:p>
        </w:tc>
        <w:tc>
          <w:tcPr>
            <w:tcW w:w="2200" w:type="dxa"/>
            <w:shd w:val="clear" w:color="auto" w:fill="F2F4F7"/>
            <w:vAlign w:val="center"/>
          </w:tcPr>
          <w:p>
            <w:pPr>
              <w:spacing w:before="20" w:after="20"/>
              <w:jc w:val="right"/>
            </w:pPr>
            <w:r>
              <w:rPr>
                <w:sz w:val="15"/>
                <w:szCs w:val="15"/>
              </w:rPr>
              <w:t xml:space="preserve">46,1</w:t>
            </w:r>
          </w:p>
        </w:tc>
      </w:tr>
      <w:tr>
        <w:trPr>
          <w:cantSplit/>
        </w:trPr>
        <w:tc>
          <w:tcPr>
            <w:tcW w:w="5200" w:type="dxa"/>
            <w:vAlign w:val="center"/>
          </w:tcPr>
          <w:p>
            <w:pPr>
              <w:spacing w:before="20" w:after="20"/>
              <w:jc w:val="left"/>
            </w:pPr>
            <w:r>
              <w:rPr>
                <w:b/>
                <w:sz w:val="15"/>
                <w:szCs w:val="15"/>
              </w:rPr>
              <w:t xml:space="preserve">Consommation Brésil (conso intérieure)</w:t>
            </w:r>
          </w:p>
        </w:tc>
        <w:tc>
          <w:tcPr>
            <w:tcW w:w="2400" w:type="dxa"/>
            <w:vAlign w:val="center"/>
          </w:tcPr>
          <w:p>
            <w:pPr>
              <w:spacing w:before="20" w:after="20"/>
              <w:jc w:val="right"/>
            </w:pPr>
            <w:r>
              <w:rPr>
                <w:sz w:val="15"/>
                <w:szCs w:val="15"/>
              </w:rPr>
              <w:t xml:space="preserve">+0,18</w:t>
            </w:r>
          </w:p>
        </w:tc>
        <w:tc>
          <w:tcPr>
            <w:tcW w:w="2200" w:type="dxa"/>
            <w:vAlign w:val="center"/>
          </w:tcPr>
          <w:p>
            <w:pPr>
              <w:spacing w:before="20" w:after="20"/>
              <w:jc w:val="right"/>
            </w:pPr>
            <w:r>
              <w:rPr>
                <w:sz w:val="15"/>
                <w:szCs w:val="15"/>
              </w:rPr>
              <w:t xml:space="preserve">22,3</w:t>
            </w:r>
          </w:p>
        </w:tc>
      </w:tr>
      <w:tr>
        <w:trPr>
          <w:cantSplit/>
        </w:trPr>
        <w:tc>
          <w:tcPr>
            <w:tcW w:w="5200" w:type="dxa"/>
            <w:shd w:val="clear" w:color="auto" w:fill="F2F4F7"/>
            <w:vAlign w:val="center"/>
          </w:tcPr>
          <w:p>
            <w:pPr>
              <w:spacing w:before="20" w:after="20"/>
              <w:jc w:val="left"/>
            </w:pPr>
            <w:r>
              <w:rPr>
                <w:b/>
                <w:sz w:val="15"/>
                <w:szCs w:val="15"/>
              </w:rPr>
              <w:t xml:space="preserve">Consommation États-Unis</w:t>
            </w:r>
          </w:p>
        </w:tc>
        <w:tc>
          <w:tcPr>
            <w:tcW w:w="2400" w:type="dxa"/>
            <w:shd w:val="clear" w:color="auto" w:fill="F2F4F7"/>
            <w:vAlign w:val="center"/>
          </w:tcPr>
          <w:p>
            <w:pPr>
              <w:spacing w:before="20" w:after="20"/>
              <w:jc w:val="right"/>
            </w:pPr>
            <w:r>
              <w:rPr>
                <w:sz w:val="15"/>
                <w:szCs w:val="15"/>
              </w:rPr>
              <w:t xml:space="preserve">+0,16</w:t>
            </w:r>
          </w:p>
        </w:tc>
        <w:tc>
          <w:tcPr>
            <w:tcW w:w="2200" w:type="dxa"/>
            <w:shd w:val="clear" w:color="auto" w:fill="F2F4F7"/>
            <w:vAlign w:val="center"/>
          </w:tcPr>
          <w:p>
            <w:pPr>
              <w:spacing w:before="20" w:after="20"/>
              <w:jc w:val="right"/>
            </w:pPr>
            <w:r>
              <w:rPr>
                <w:sz w:val="15"/>
                <w:szCs w:val="15"/>
              </w:rPr>
              <w:t xml:space="preserve">25,6</w:t>
            </w:r>
          </w:p>
        </w:tc>
      </w:tr>
      <w:tr>
        <w:trPr>
          <w:cantSplit/>
        </w:trPr>
        <w:tc>
          <w:tcPr>
            <w:tcW w:w="5200" w:type="dxa"/>
            <w:vAlign w:val="center"/>
          </w:tcPr>
          <w:p>
            <w:pPr>
              <w:spacing w:before="20" w:after="20"/>
              <w:jc w:val="left"/>
            </w:pPr>
            <w:r>
              <w:rPr>
                <w:b/>
                <w:sz w:val="15"/>
                <w:szCs w:val="15"/>
              </w:rPr>
              <w:t xml:space="preserve">Consommation Japon</w:t>
            </w:r>
          </w:p>
        </w:tc>
        <w:tc>
          <w:tcPr>
            <w:tcW w:w="2400" w:type="dxa"/>
            <w:vAlign w:val="center"/>
          </w:tcPr>
          <w:p>
            <w:pPr>
              <w:spacing w:before="20" w:after="20"/>
              <w:jc w:val="right"/>
            </w:pPr>
            <w:r>
              <w:rPr>
                <w:sz w:val="15"/>
                <w:szCs w:val="15"/>
              </w:rPr>
              <w:t xml:space="preserve">−0,08</w:t>
            </w:r>
          </w:p>
        </w:tc>
        <w:tc>
          <w:tcPr>
            <w:tcW w:w="2200" w:type="dxa"/>
            <w:vAlign w:val="center"/>
          </w:tcPr>
          <w:p>
            <w:pPr>
              <w:spacing w:before="20" w:after="20"/>
              <w:jc w:val="right"/>
            </w:pPr>
            <w:r>
              <w:rPr>
                <w:sz w:val="15"/>
                <w:szCs w:val="15"/>
              </w:rPr>
              <w:t xml:space="preserve">6,7</w:t>
            </w:r>
          </w:p>
        </w:tc>
      </w:tr>
      <w:tr>
        <w:trPr>
          <w:cantSplit/>
        </w:trPr>
        <w:tc>
          <w:tcPr>
            <w:tcW w:w="5200" w:type="dxa"/>
            <w:shd w:val="clear" w:color="auto" w:fill="F2F4F7"/>
            <w:vAlign w:val="center"/>
          </w:tcPr>
          <w:p>
            <w:pPr>
              <w:spacing w:before="20" w:after="20"/>
              <w:jc w:val="left"/>
            </w:pPr>
            <w:r>
              <w:rPr>
                <w:b/>
                <w:sz w:val="15"/>
                <w:szCs w:val="15"/>
              </w:rPr>
              <w:t xml:space="preserve">Consommation monde</w:t>
            </w:r>
          </w:p>
        </w:tc>
        <w:tc>
          <w:tcPr>
            <w:tcW w:w="2400" w:type="dxa"/>
            <w:shd w:val="clear" w:color="auto" w:fill="F2F4F7"/>
            <w:vAlign w:val="center"/>
          </w:tcPr>
          <w:p>
            <w:pPr>
              <w:spacing w:before="20" w:after="20"/>
              <w:jc w:val="right"/>
            </w:pPr>
            <w:r>
              <w:rPr>
                <w:sz w:val="15"/>
                <w:szCs w:val="15"/>
              </w:rPr>
              <w:t xml:space="preserve">+2,25</w:t>
            </w:r>
          </w:p>
        </w:tc>
        <w:tc>
          <w:tcPr>
            <w:tcW w:w="2200" w:type="dxa"/>
            <w:shd w:val="clear" w:color="auto" w:fill="F2F4F7"/>
            <w:vAlign w:val="center"/>
          </w:tcPr>
          <w:p>
            <w:pPr>
              <w:spacing w:before="20" w:after="20"/>
              <w:jc w:val="right"/>
            </w:pPr>
            <w:r>
              <w:rPr>
                <w:sz w:val="15"/>
                <w:szCs w:val="15"/>
              </w:rPr>
              <w:t xml:space="preserve">173,5</w:t>
            </w:r>
          </w:p>
        </w:tc>
      </w:tr>
    </w:tbl>
    <w:p>
      <w:pPr>
        <w:spacing w:after="60"/>
      </w:pPr>
      <w:r>
        <w:t xml:space="preserve"/>
      </w:r>
    </w:p>
    <w:p>
      <w:pPr>
        <w:pStyle w:val="Figure"/>
        <w:keepNext/>
      </w:pPr>
      <w:r>
        <w:drawing>
          <wp:inline distT="0" distB="0" distL="0" distR="0">
            <wp:extent cx="5940000" cy="2499845"/>
            <wp:docPr id="6" name="Graphique 6"/>
            <wp:cNvGraphicFramePr>
              <a:graphicFrameLocks noChangeAspect="1"/>
            </wp:cNvGraphicFramePr>
            <a:graphic>
              <a:graphicData uri="http://schemas.openxmlformats.org/drawingml/2006/picture">
                <pic:pic>
                  <pic:nvPicPr>
                    <pic:cNvPr id="6" name="graphique6.png"/>
                    <pic:cNvPicPr/>
                  </pic:nvPicPr>
                  <pic:blipFill>
                    <a:blip r:embed="rIdImg6"/>
                    <a:stretch>
                      <a:fillRect/>
                    </a:stretch>
                  </pic:blipFill>
                  <pic:spPr>
                    <a:xfrm>
                      <a:off x="0" y="0"/>
                      <a:ext cx="5940000" cy="2499845"/>
                    </a:xfrm>
                    <a:prstGeom prst="rect">
                      <a:avLst/>
                    </a:prstGeom>
                  </pic:spPr>
                </pic:pic>
              </a:graphicData>
            </a:graphic>
          </wp:inline>
        </w:drawing>
      </w:r>
    </w:p>
    <w:p>
      <w:pPr>
        <w:pStyle w:val="Caption"/>
      </w:pPr>
      <w:r>
        <w:t xml:space="preserve">Graphique 6 — Tendance de la production par origine, 2011/12-2025/26 (M sacs par an). 2010/11 exclue : saut de niveau du Vietnam entre 2010/11 et 2011/12.</w:t>
      </w:r>
    </w:p>
    <w:p>
      <w:r>
        <w:t xml:space="preserve">La consommation mondiale monte de +2,25 M sacs par an (2011/12-2025/26), la production de +1,85 seulement : environ 0,4 M sacs d'écart chaque année, au détriment du STU (sur 2010/11-2025/26 : +2,37 contre +2,03). La consommation qui monte le plus vite est celle des pays producteurs eux-mêmes (+0,62 hors Brésil, Brésil +0,18), puis le reste du monde (+0,45), la Chine (+0,37) et les autres pays d'Asie importateurs (+0,35, consommation apparente) ; l'UE + Royaume-Uni (+0,20) et les États-Unis (+0,16) progressent lentement, le Japon recule (−0,08). Côté offre, le conilon brésilien fait à lui seul 41 % de la hausse (+0,75), devant l'Éthiopie (+0,32), l'Ouganda (+0,30), l'arabica brésilien (+0,27 : en légère hausse, malgré le cycle biennal) et le Vietnam (+0,22) ; l'Amérique centrale recule (−0,11).</w:t>
      </w:r>
    </w:p>
    <w:p>
      <w:r>
        <w:t xml:space="preserve">Le niveau du prix suit-il cette pente ? La composante lente du bilan (tendance de production − tendance de consommation) passe de +1,8 M sacs en 2010/11 à −2,3 M en 2025/26, et elle suit le niveau du prix (r = −0,89 avec ln KC, −0,87 avec ln DF), alors que le cumul des écarts de récolte n'y est pas lié (−0,11 et −0,19). Mais une droite qui descend ressemble à n'importe quelle tendance du temps (p corrigés 0,25 et 0,33) : c'est compatible avec l'idée que la demande use le STU, pas une preuve. Avec 16 campagnes, on ne peut pas départager « production trop lente » et « consommation trop rapide ».</w:t>
      </w:r>
    </w:p>
    <w:p>
      <w:r>
        <w:br w:type="page"/>
      </w:r>
    </w:p>
    <w:p>
      <w:pPr>
        <w:pStyle w:val="Heading1"/>
        <w:keepNext/>
      </w:pPr>
      <w:r>
        <w:t xml:space="preserve">5. La crise 2021-2025, et la reprise</w:t>
      </w:r>
    </w:p>
    <w:p>
      <w:pPr>
        <w:pStyle w:val="Figure"/>
        <w:keepNext/>
      </w:pPr>
      <w:r>
        <w:drawing>
          <wp:inline distT="0" distB="0" distL="0" distR="0">
            <wp:extent cx="5940000" cy="2614517"/>
            <wp:docPr id="7" name="Graphique 7"/>
            <wp:cNvGraphicFramePr>
              <a:graphicFrameLocks noChangeAspect="1"/>
            </wp:cNvGraphicFramePr>
            <a:graphic>
              <a:graphicData uri="http://schemas.openxmlformats.org/drawingml/2006/picture">
                <pic:pic>
                  <pic:nvPicPr>
                    <pic:cNvPr id="7" name="graphique7.png"/>
                    <pic:cNvPicPr/>
                  </pic:nvPicPr>
                  <pic:blipFill>
                    <a:blip r:embed="rIdImg7"/>
                    <a:stretch>
                      <a:fillRect/>
                    </a:stretch>
                  </pic:blipFill>
                  <pic:spPr>
                    <a:xfrm>
                      <a:off x="0" y="0"/>
                      <a:ext cx="5940000" cy="2614517"/>
                    </a:xfrm>
                    <a:prstGeom prst="rect">
                      <a:avLst/>
                    </a:prstGeom>
                  </pic:spPr>
                </pic:pic>
              </a:graphicData>
            </a:graphic>
          </wp:inline>
        </w:drawing>
      </w:r>
    </w:p>
    <w:p>
      <w:pPr>
        <w:pStyle w:val="Caption"/>
      </w:pPr>
      <w:r>
        <w:t xml:space="preserve">Graphique 7 — Effet sur le solde mondial, moyennes 2021/22-2024/25 contre 2017/18-2020/21 (écart des moyennes annuelles, M sacs). Négatif = a vidé les stocks.</w:t>
      </w:r>
    </w:p>
    <w:p>
      <w:r>
        <w:t xml:space="preserve">Calcul sans modèle : on compare les moyennes des quatre années de crise aux quatre années d'avant. Ce sont des écarts de niveau moyen, pas des rythmes annuels. STU moyen 11,7 % → 8,4 % ; KC 121 → 233 c/lb ; DF 1 515 → 3 143 $/t. La production moyenne a reculé de 1,4 M sacs : l'arabica des Amériques a perdu 7,3 M (Brésil −3,8, Amérique centrale et Mexique −2,1, Colombie −1,3), plus que compensés par le conilon (+4,7), l'Éthiopie (+1,6), l'Ouganda (+1,1) et l'Inde (+0,8) ; le reste du recul vient du Vietnam (−0,9), de l'Indonésie (−0,6) et de petites origines. La consommation moyenne a monté de 5,3 M sacs (environ +1,3 M par an, la moitié de sa tendance), surtout dans les pays producteurs (+2,1, dont Brésil −0,5) et en Chine (+2,0). L'écart statistique s'est réduit de 2,6 M sacs. Deux lectures, toutes deux justes : par rapport au niveau d'avant-crise, c'est la hausse de la consommation qui a creusé le déficit ; par rapport à ce que la production ajoute d'habitude (environ 2 M sacs par an, soit 8 M entre les deux périodes), c'est la production qui a calé.</w:t>
      </w:r>
    </w:p>
    <w:p>
      <w:pPr>
        <w:pStyle w:val="Figure"/>
        <w:keepNext/>
      </w:pPr>
      <w:r>
        <w:drawing>
          <wp:inline distT="0" distB="0" distL="0" distR="0">
            <wp:extent cx="5940000" cy="2614517"/>
            <wp:docPr id="8" name="Graphique 8"/>
            <wp:cNvGraphicFramePr>
              <a:graphicFrameLocks noChangeAspect="1"/>
            </wp:cNvGraphicFramePr>
            <a:graphic>
              <a:graphicData uri="http://schemas.openxmlformats.org/drawingml/2006/picture">
                <pic:pic>
                  <pic:nvPicPr>
                    <pic:cNvPr id="8" name="graphique8.png"/>
                    <pic:cNvPicPr/>
                  </pic:nvPicPr>
                  <pic:blipFill>
                    <a:blip r:embed="rIdImg8"/>
                    <a:stretch>
                      <a:fillRect/>
                    </a:stretch>
                  </pic:blipFill>
                  <pic:spPr>
                    <a:xfrm>
                      <a:off x="0" y="0"/>
                      <a:ext cx="5940000" cy="2614517"/>
                    </a:xfrm>
                    <a:prstGeom prst="rect">
                      <a:avLst/>
                    </a:prstGeom>
                  </pic:spPr>
                </pic:pic>
              </a:graphicData>
            </a:graphic>
          </wp:inline>
        </w:drawing>
      </w:r>
    </w:p>
    <w:p>
      <w:pPr>
        <w:pStyle w:val="Caption"/>
      </w:pPr>
      <w:r>
        <w:t xml:space="preserve">Graphique 8 — Reprise : moyennes 2025/26-2026/27 contre 2021/22-2024/25 (écart des moyennes annuelles, M sacs ; 2026/27 = prévision USDA).</w:t>
      </w:r>
    </w:p>
    <w:p>
      <w:r>
        <w:t xml:space="preserve">La reprise vient du robusta et de l'Afrique de l'Est : Vietnam +3,0, conilon +3,0, Éthiopie +2,8, Indonésie +1,8 M sacs (écarts de moyennes) ; l'arabica brésilien ne remonte que de 1,4. Le solde mondial repasse en positif (+2,1 M sacs en moyenne, contre −3,9), mais le STU reste bas (7,8 % prévu en 2026/27), et 2025/26 a encore le deuxième KC moyen le plus élevé de la série (312 c/lb).</w:t>
      </w:r>
    </w:p>
    <w:p>
      <w:r>
        <w:br w:type="page"/>
      </w:r>
    </w:p>
    <w:p>
      <w:pPr>
        <w:pStyle w:val="Heading1"/>
        <w:keepNext/>
      </w:pPr>
      <w:r>
        <w:t xml:space="preserve">6. Robusta : le conilon brésilien contre le Vietnam</w:t>
      </w:r>
    </w:p>
    <w:p>
      <w:pPr>
        <w:pStyle w:val="Figure"/>
        <w:keepNext/>
      </w:pPr>
      <w:r>
        <w:drawing>
          <wp:inline distT="0" distB="0" distL="0" distR="0">
            <wp:extent cx="5940000" cy="2614517"/>
            <wp:docPr id="9" name="Graphique 9"/>
            <wp:cNvGraphicFramePr>
              <a:graphicFrameLocks noChangeAspect="1"/>
            </wp:cNvGraphicFramePr>
            <a:graphic>
              <a:graphicData uri="http://schemas.openxmlformats.org/drawingml/2006/picture">
                <pic:pic>
                  <pic:nvPicPr>
                    <pic:cNvPr id="9" name="graphique9.png"/>
                    <pic:cNvPicPr/>
                  </pic:nvPicPr>
                  <pic:blipFill>
                    <a:blip r:embed="rIdImg9"/>
                    <a:stretch>
                      <a:fillRect/>
                    </a:stretch>
                  </pic:blipFill>
                  <pic:spPr>
                    <a:xfrm>
                      <a:off x="0" y="0"/>
                      <a:ext cx="5940000" cy="2614517"/>
                    </a:xfrm>
                    <a:prstGeom prst="rect">
                      <a:avLst/>
                    </a:prstGeom>
                  </pic:spPr>
                </pic:pic>
              </a:graphicData>
            </a:graphic>
          </wp:inline>
        </w:drawing>
      </w:r>
    </w:p>
    <w:p>
      <w:pPr>
        <w:pStyle w:val="Caption"/>
      </w:pPr>
      <w:r>
        <w:t xml:space="preserve">Graphique 9 — Production de robusta par origine (M sacs) et DF1 (US$/t, axe droit).</w:t>
      </w:r>
    </w:p>
    <w:p>
      <w:pPr>
        <w:pStyle w:val="Figure"/>
        <w:keepNext/>
      </w:pPr>
      <w:r>
        <w:drawing>
          <wp:inline distT="0" distB="0" distL="0" distR="0">
            <wp:extent cx="5940000" cy="2499845"/>
            <wp:docPr id="10" name="Graphique 10"/>
            <wp:cNvGraphicFramePr>
              <a:graphicFrameLocks noChangeAspect="1"/>
            </wp:cNvGraphicFramePr>
            <a:graphic>
              <a:graphicData uri="http://schemas.openxmlformats.org/drawingml/2006/picture">
                <pic:pic>
                  <pic:nvPicPr>
                    <pic:cNvPr id="10" name="graphique10.png"/>
                    <pic:cNvPicPr/>
                  </pic:nvPicPr>
                  <pic:blipFill>
                    <a:blip r:embed="rIdImg10"/>
                    <a:stretch>
                      <a:fillRect/>
                    </a:stretch>
                  </pic:blipFill>
                  <pic:spPr>
                    <a:xfrm>
                      <a:off x="0" y="0"/>
                      <a:ext cx="5940000" cy="2499845"/>
                    </a:xfrm>
                    <a:prstGeom prst="rect">
                      <a:avLst/>
                    </a:prstGeom>
                  </pic:spPr>
                </pic:pic>
              </a:graphicData>
            </a:graphic>
          </wp:inline>
        </w:drawing>
      </w:r>
    </w:p>
    <w:p>
      <w:pPr>
        <w:pStyle w:val="Caption"/>
      </w:pPr>
      <w:r>
        <w:t xml:space="preserve">Graphique 10 — Variation annuelle de la production de robusta (M sacs) et DF1.</w:t>
      </w:r>
    </w:p>
    <w:tbl>
      <w:tblPr>
        <w:tblStyle w:val="Grille"/>
        <w:tblW w:w="98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70" w:type="dxa"/>
          <w:right w:w="70" w:type="dxa"/>
        </w:tblCellMar>
      </w:tblPr>
      <w:tblGrid>
        <w:gridCol w:w="1900"/>
        <w:gridCol w:w="1600"/>
        <w:gridCol w:w="1700"/>
        <w:gridCol w:w="1500"/>
        <w:gridCol w:w="1500"/>
        <w:gridCol w:w="1600"/>
      </w:tblGrid>
      <w:tr>
        <w:trPr>
          <w:tblHeader/>
        </w:trPr>
        <w:tc>
          <w:tcPr>
            <w:tcW w:w="1900" w:type="dxa"/>
            <w:shd w:val="clear" w:color="auto" w:fill="1F3864"/>
            <w:vAlign w:val="center"/>
          </w:tcPr>
          <w:p>
            <w:pPr>
              <w:spacing w:before="20" w:after="20"/>
              <w:jc w:val="center"/>
            </w:pPr>
            <w:r>
              <w:rPr>
                <w:b/>
                <w:color w:val="FFFFFF"/>
                <w:sz w:val="14"/>
                <w:szCs w:val="14"/>
              </w:rPr>
              <w:t xml:space="preserve">Origine</w:t>
            </w:r>
          </w:p>
        </w:tc>
        <w:tc>
          <w:tcPr>
            <w:tcW w:w="1600" w:type="dxa"/>
            <w:shd w:val="clear" w:color="auto" w:fill="1F3864"/>
            <w:vAlign w:val="center"/>
          </w:tcPr>
          <w:p>
            <w:pPr>
              <w:spacing w:before="20" w:after="20"/>
              <w:jc w:val="center"/>
            </w:pPr>
            <w:r>
              <w:rPr>
                <w:b/>
                <w:color w:val="FFFFFF"/>
                <w:sz w:val="14"/>
                <w:szCs w:val="14"/>
              </w:rPr>
              <w:t xml:space="preserve">Part des écarts de production robusta</w:t>
            </w:r>
          </w:p>
        </w:tc>
        <w:tc>
          <w:tcPr>
            <w:tcW w:w="1700" w:type="dxa"/>
            <w:shd w:val="clear" w:color="auto" w:fill="1F3864"/>
            <w:vAlign w:val="center"/>
          </w:tcPr>
          <w:p>
            <w:pPr>
              <w:spacing w:before="20" w:after="20"/>
              <w:jc w:val="center"/>
            </w:pPr>
            <w:r>
              <w:rPr>
                <w:b/>
                <w:color w:val="FFFFFF"/>
                <w:sz w:val="14"/>
                <w:szCs w:val="14"/>
              </w:rPr>
              <w:t xml:space="preserve">Écart type autour de la tendance (M sacs)</w:t>
            </w:r>
          </w:p>
        </w:tc>
        <w:tc>
          <w:tcPr>
            <w:tcW w:w="1500" w:type="dxa"/>
            <w:shd w:val="clear" w:color="auto" w:fill="1F3864"/>
            <w:vAlign w:val="center"/>
          </w:tcPr>
          <w:p>
            <w:pPr>
              <w:spacing w:before="20" w:after="20"/>
              <w:jc w:val="center"/>
            </w:pPr>
            <w:r>
              <w:rPr>
                <w:b/>
                <w:color w:val="FFFFFF"/>
                <w:sz w:val="14"/>
                <w:szCs w:val="14"/>
              </w:rPr>
              <w:t xml:space="preserve">Tendance (M sacs par an)</w:t>
            </w:r>
          </w:p>
        </w:tc>
        <w:tc>
          <w:tcPr>
            <w:tcW w:w="1500" w:type="dxa"/>
            <w:shd w:val="clear" w:color="auto" w:fill="1F3864"/>
            <w:vAlign w:val="center"/>
          </w:tcPr>
          <w:p>
            <w:pPr>
              <w:spacing w:before="20" w:after="20"/>
              <w:jc w:val="center"/>
            </w:pPr>
            <w:r>
              <w:rPr>
                <w:b/>
                <w:color w:val="FFFFFF"/>
                <w:sz w:val="14"/>
                <w:szCs w:val="14"/>
              </w:rPr>
              <w:t xml:space="preserve">r avec le DF (même campagne)</w:t>
            </w:r>
          </w:p>
        </w:tc>
        <w:tc>
          <w:tcPr>
            <w:tcW w:w="1600" w:type="dxa"/>
            <w:shd w:val="clear" w:color="auto" w:fill="1F3864"/>
            <w:vAlign w:val="center"/>
          </w:tcPr>
          <w:p>
            <w:pPr>
              <w:spacing w:before="20" w:after="20"/>
              <w:jc w:val="center"/>
            </w:pPr>
            <w:r>
              <w:rPr>
                <w:b/>
                <w:color w:val="FFFFFF"/>
                <w:sz w:val="14"/>
                <w:szCs w:val="14"/>
              </w:rPr>
              <w:t xml:space="preserve">r : DF (t−1) → production (t)</w:t>
            </w:r>
          </w:p>
        </w:tc>
      </w:tr>
      <w:tr>
        <w:trPr>
          <w:cantSplit/>
        </w:trPr>
        <w:tc>
          <w:tcPr>
            <w:tcW w:w="1900" w:type="dxa"/>
            <w:vAlign w:val="center"/>
          </w:tcPr>
          <w:p>
            <w:pPr>
              <w:spacing w:before="20" w:after="20"/>
              <w:jc w:val="left"/>
            </w:pPr>
            <w:r>
              <w:rPr>
                <w:b/>
                <w:sz w:val="14"/>
                <w:szCs w:val="14"/>
              </w:rPr>
              <w:t xml:space="preserve">Brésil conilon</w:t>
            </w:r>
          </w:p>
        </w:tc>
        <w:tc>
          <w:tcPr>
            <w:tcW w:w="1600" w:type="dxa"/>
            <w:vAlign w:val="center"/>
          </w:tcPr>
          <w:p>
            <w:pPr>
              <w:spacing w:before="20" w:after="20"/>
              <w:jc w:val="right"/>
            </w:pPr>
            <w:r>
              <w:rPr>
                <w:sz w:val="14"/>
                <w:szCs w:val="14"/>
              </w:rPr>
              <w:t xml:space="preserve">53 %</w:t>
            </w:r>
          </w:p>
        </w:tc>
        <w:tc>
          <w:tcPr>
            <w:tcW w:w="1700" w:type="dxa"/>
            <w:vAlign w:val="center"/>
          </w:tcPr>
          <w:p>
            <w:pPr>
              <w:spacing w:before="20" w:after="20"/>
              <w:jc w:val="right"/>
            </w:pPr>
            <w:r>
              <w:rPr>
                <w:sz w:val="14"/>
                <w:szCs w:val="14"/>
              </w:rPr>
              <w:t xml:space="preserve">2,4</w:t>
            </w:r>
          </w:p>
        </w:tc>
        <w:tc>
          <w:tcPr>
            <w:tcW w:w="1500" w:type="dxa"/>
            <w:vAlign w:val="center"/>
          </w:tcPr>
          <w:p>
            <w:pPr>
              <w:spacing w:before="20" w:after="20"/>
              <w:jc w:val="right"/>
            </w:pPr>
            <w:r>
              <w:rPr>
                <w:sz w:val="14"/>
                <w:szCs w:val="14"/>
              </w:rPr>
              <w:t xml:space="preserve">+0,75</w:t>
            </w:r>
          </w:p>
        </w:tc>
        <w:tc>
          <w:tcPr>
            <w:tcW w:w="1500" w:type="dxa"/>
            <w:vAlign w:val="center"/>
          </w:tcPr>
          <w:p>
            <w:pPr>
              <w:spacing w:before="20" w:after="20"/>
              <w:jc w:val="right"/>
            </w:pPr>
            <w:r>
              <w:rPr>
                <w:sz w:val="14"/>
                <w:szCs w:val="14"/>
              </w:rPr>
              <w:t xml:space="preserve">−0,43</w:t>
            </w:r>
          </w:p>
        </w:tc>
        <w:tc>
          <w:tcPr>
            <w:tcW w:w="1600" w:type="dxa"/>
            <w:vAlign w:val="center"/>
          </w:tcPr>
          <w:p>
            <w:pPr>
              <w:spacing w:before="20" w:after="20"/>
              <w:jc w:val="right"/>
            </w:pPr>
            <w:r>
              <w:rPr>
                <w:sz w:val="14"/>
                <w:szCs w:val="14"/>
              </w:rPr>
              <w:t xml:space="preserve">+0,03</w:t>
            </w:r>
          </w:p>
        </w:tc>
      </w:tr>
      <w:tr>
        <w:trPr>
          <w:cantSplit/>
        </w:trPr>
        <w:tc>
          <w:tcPr>
            <w:tcW w:w="1900" w:type="dxa"/>
            <w:shd w:val="clear" w:color="auto" w:fill="F2F4F7"/>
            <w:vAlign w:val="center"/>
          </w:tcPr>
          <w:p>
            <w:pPr>
              <w:spacing w:before="20" w:after="20"/>
              <w:jc w:val="left"/>
            </w:pPr>
            <w:r>
              <w:rPr>
                <w:b/>
                <w:sz w:val="14"/>
                <w:szCs w:val="14"/>
              </w:rPr>
              <w:t xml:space="preserve">Vietnam</w:t>
            </w:r>
          </w:p>
        </w:tc>
        <w:tc>
          <w:tcPr>
            <w:tcW w:w="1600" w:type="dxa"/>
            <w:shd w:val="clear" w:color="auto" w:fill="F2F4F7"/>
            <w:vAlign w:val="center"/>
          </w:tcPr>
          <w:p>
            <w:pPr>
              <w:spacing w:before="20" w:after="20"/>
              <w:jc w:val="right"/>
            </w:pPr>
            <w:r>
              <w:rPr>
                <w:sz w:val="14"/>
                <w:szCs w:val="14"/>
              </w:rPr>
              <w:t xml:space="preserve">26 %</w:t>
            </w:r>
          </w:p>
        </w:tc>
        <w:tc>
          <w:tcPr>
            <w:tcW w:w="1700" w:type="dxa"/>
            <w:shd w:val="clear" w:color="auto" w:fill="F2F4F7"/>
            <w:vAlign w:val="center"/>
          </w:tcPr>
          <w:p>
            <w:pPr>
              <w:spacing w:before="20" w:after="20"/>
              <w:jc w:val="right"/>
            </w:pPr>
            <w:r>
              <w:rPr>
                <w:sz w:val="14"/>
                <w:szCs w:val="14"/>
              </w:rPr>
              <w:t xml:space="preserve">1,5</w:t>
            </w:r>
          </w:p>
        </w:tc>
        <w:tc>
          <w:tcPr>
            <w:tcW w:w="1500" w:type="dxa"/>
            <w:shd w:val="clear" w:color="auto" w:fill="F2F4F7"/>
            <w:vAlign w:val="center"/>
          </w:tcPr>
          <w:p>
            <w:pPr>
              <w:spacing w:before="20" w:after="20"/>
              <w:jc w:val="right"/>
            </w:pPr>
            <w:r>
              <w:rPr>
                <w:sz w:val="14"/>
                <w:szCs w:val="14"/>
              </w:rPr>
              <w:t xml:space="preserve">+0,22</w:t>
            </w:r>
          </w:p>
        </w:tc>
        <w:tc>
          <w:tcPr>
            <w:tcW w:w="1500" w:type="dxa"/>
            <w:shd w:val="clear" w:color="auto" w:fill="F2F4F7"/>
            <w:vAlign w:val="center"/>
          </w:tcPr>
          <w:p>
            <w:pPr>
              <w:spacing w:before="20" w:after="20"/>
              <w:jc w:val="right"/>
            </w:pPr>
            <w:r>
              <w:rPr>
                <w:sz w:val="14"/>
                <w:szCs w:val="14"/>
              </w:rPr>
              <w:t xml:space="preserve">−0,32</w:t>
            </w:r>
          </w:p>
        </w:tc>
        <w:tc>
          <w:tcPr>
            <w:tcW w:w="1600" w:type="dxa"/>
            <w:shd w:val="clear" w:color="auto" w:fill="F2F4F7"/>
            <w:vAlign w:val="center"/>
          </w:tcPr>
          <w:p>
            <w:pPr>
              <w:spacing w:before="20" w:after="20"/>
              <w:jc w:val="right"/>
            </w:pPr>
            <w:r>
              <w:rPr>
                <w:sz w:val="14"/>
                <w:szCs w:val="14"/>
              </w:rPr>
              <w:t xml:space="preserve">+0,38</w:t>
            </w:r>
          </w:p>
        </w:tc>
      </w:tr>
      <w:tr>
        <w:trPr>
          <w:cantSplit/>
        </w:trPr>
        <w:tc>
          <w:tcPr>
            <w:tcW w:w="1900" w:type="dxa"/>
            <w:vAlign w:val="center"/>
          </w:tcPr>
          <w:p>
            <w:pPr>
              <w:spacing w:before="20" w:after="20"/>
              <w:jc w:val="left"/>
            </w:pPr>
            <w:r>
              <w:rPr>
                <w:b/>
                <w:sz w:val="14"/>
                <w:szCs w:val="14"/>
              </w:rPr>
              <w:t xml:space="preserve">Indonésie</w:t>
            </w:r>
          </w:p>
        </w:tc>
        <w:tc>
          <w:tcPr>
            <w:tcW w:w="1600" w:type="dxa"/>
            <w:vAlign w:val="center"/>
          </w:tcPr>
          <w:p>
            <w:pPr>
              <w:spacing w:before="20" w:after="20"/>
              <w:jc w:val="right"/>
            </w:pPr>
            <w:r>
              <w:rPr>
                <w:sz w:val="14"/>
                <w:szCs w:val="14"/>
              </w:rPr>
              <w:t xml:space="preserve">19 %</w:t>
            </w:r>
          </w:p>
        </w:tc>
        <w:tc>
          <w:tcPr>
            <w:tcW w:w="1700" w:type="dxa"/>
            <w:vAlign w:val="center"/>
          </w:tcPr>
          <w:p>
            <w:pPr>
              <w:spacing w:before="20" w:after="20"/>
              <w:jc w:val="right"/>
            </w:pPr>
            <w:r>
              <w:rPr>
                <w:sz w:val="14"/>
                <w:szCs w:val="14"/>
              </w:rPr>
              <w:t xml:space="preserve">1,2</w:t>
            </w:r>
          </w:p>
        </w:tc>
        <w:tc>
          <w:tcPr>
            <w:tcW w:w="1500" w:type="dxa"/>
            <w:vAlign w:val="center"/>
          </w:tcPr>
          <w:p>
            <w:pPr>
              <w:spacing w:before="20" w:after="20"/>
              <w:jc w:val="right"/>
            </w:pPr>
            <w:r>
              <w:rPr>
                <w:sz w:val="14"/>
                <w:szCs w:val="14"/>
              </w:rPr>
              <w:t xml:space="preserve">+0,01</w:t>
            </w:r>
          </w:p>
        </w:tc>
        <w:tc>
          <w:tcPr>
            <w:tcW w:w="1500" w:type="dxa"/>
            <w:vAlign w:val="center"/>
          </w:tcPr>
          <w:p>
            <w:pPr>
              <w:spacing w:before="20" w:after="20"/>
              <w:jc w:val="right"/>
            </w:pPr>
            <w:r>
              <w:rPr>
                <w:sz w:val="14"/>
                <w:szCs w:val="14"/>
              </w:rPr>
              <w:t xml:space="preserve">−0,34</w:t>
            </w:r>
          </w:p>
        </w:tc>
        <w:tc>
          <w:tcPr>
            <w:tcW w:w="1600" w:type="dxa"/>
            <w:vAlign w:val="center"/>
          </w:tcPr>
          <w:p>
            <w:pPr>
              <w:spacing w:before="20" w:after="20"/>
              <w:jc w:val="right"/>
            </w:pPr>
            <w:r>
              <w:rPr>
                <w:sz w:val="14"/>
                <w:szCs w:val="14"/>
              </w:rPr>
              <w:t xml:space="preserve">+0,47</w:t>
            </w:r>
          </w:p>
        </w:tc>
      </w:tr>
      <w:tr>
        <w:trPr>
          <w:cantSplit/>
        </w:trPr>
        <w:tc>
          <w:tcPr>
            <w:tcW w:w="1900" w:type="dxa"/>
            <w:shd w:val="clear" w:color="auto" w:fill="F2F4F7"/>
            <w:vAlign w:val="center"/>
          </w:tcPr>
          <w:p>
            <w:pPr>
              <w:spacing w:before="20" w:after="20"/>
              <w:jc w:val="left"/>
            </w:pPr>
            <w:r>
              <w:rPr>
                <w:b/>
                <w:sz w:val="14"/>
                <w:szCs w:val="14"/>
              </w:rPr>
              <w:t xml:space="preserve">Ouganda</w:t>
            </w:r>
          </w:p>
        </w:tc>
        <w:tc>
          <w:tcPr>
            <w:tcW w:w="1600" w:type="dxa"/>
            <w:shd w:val="clear" w:color="auto" w:fill="F2F4F7"/>
            <w:vAlign w:val="center"/>
          </w:tcPr>
          <w:p>
            <w:pPr>
              <w:spacing w:before="20" w:after="20"/>
              <w:jc w:val="right"/>
            </w:pPr>
            <w:r>
              <w:rPr>
                <w:sz w:val="14"/>
                <w:szCs w:val="14"/>
              </w:rPr>
              <w:t xml:space="preserve">1 %</w:t>
            </w:r>
          </w:p>
        </w:tc>
        <w:tc>
          <w:tcPr>
            <w:tcW w:w="1700" w:type="dxa"/>
            <w:shd w:val="clear" w:color="auto" w:fill="F2F4F7"/>
            <w:vAlign w:val="center"/>
          </w:tcPr>
          <w:p>
            <w:pPr>
              <w:spacing w:before="20" w:after="20"/>
              <w:jc w:val="right"/>
            </w:pPr>
            <w:r>
              <w:rPr>
                <w:sz w:val="14"/>
                <w:szCs w:val="14"/>
              </w:rPr>
              <w:t xml:space="preserve">0,4</w:t>
            </w:r>
          </w:p>
        </w:tc>
        <w:tc>
          <w:tcPr>
            <w:tcW w:w="1500" w:type="dxa"/>
            <w:shd w:val="clear" w:color="auto" w:fill="F2F4F7"/>
            <w:vAlign w:val="center"/>
          </w:tcPr>
          <w:p>
            <w:pPr>
              <w:spacing w:before="20" w:after="20"/>
              <w:jc w:val="right"/>
            </w:pPr>
            <w:r>
              <w:rPr>
                <w:sz w:val="14"/>
                <w:szCs w:val="14"/>
              </w:rPr>
              <w:t xml:space="preserve">+0,30</w:t>
            </w:r>
          </w:p>
        </w:tc>
        <w:tc>
          <w:tcPr>
            <w:tcW w:w="1500" w:type="dxa"/>
            <w:shd w:val="clear" w:color="auto" w:fill="F2F4F7"/>
            <w:vAlign w:val="center"/>
          </w:tcPr>
          <w:p>
            <w:pPr>
              <w:spacing w:before="20" w:after="20"/>
              <w:jc w:val="right"/>
            </w:pPr>
            <w:r>
              <w:rPr>
                <w:sz w:val="14"/>
                <w:szCs w:val="14"/>
              </w:rPr>
              <w:t xml:space="preserve">+0,05</w:t>
            </w:r>
          </w:p>
        </w:tc>
        <w:tc>
          <w:tcPr>
            <w:tcW w:w="1600" w:type="dxa"/>
            <w:shd w:val="clear" w:color="auto" w:fill="F2F4F7"/>
            <w:vAlign w:val="center"/>
          </w:tcPr>
          <w:p>
            <w:pPr>
              <w:spacing w:before="20" w:after="20"/>
              <w:jc w:val="right"/>
            </w:pPr>
            <w:r>
              <w:rPr>
                <w:sz w:val="14"/>
                <w:szCs w:val="14"/>
              </w:rPr>
              <w:t xml:space="preserve">−0,16</w:t>
            </w:r>
          </w:p>
        </w:tc>
      </w:tr>
      <w:tr>
        <w:trPr>
          <w:cantSplit/>
        </w:trPr>
        <w:tc>
          <w:tcPr>
            <w:tcW w:w="1900" w:type="dxa"/>
            <w:vAlign w:val="center"/>
          </w:tcPr>
          <w:p>
            <w:pPr>
              <w:spacing w:before="20" w:after="20"/>
              <w:jc w:val="left"/>
            </w:pPr>
            <w:r>
              <w:rPr>
                <w:b/>
                <w:sz w:val="14"/>
                <w:szCs w:val="14"/>
              </w:rPr>
              <w:t xml:space="preserve">Inde</w:t>
            </w:r>
          </w:p>
        </w:tc>
        <w:tc>
          <w:tcPr>
            <w:tcW w:w="1600" w:type="dxa"/>
            <w:vAlign w:val="center"/>
          </w:tcPr>
          <w:p>
            <w:pPr>
              <w:spacing w:before="20" w:after="20"/>
              <w:jc w:val="right"/>
            </w:pPr>
            <w:r>
              <w:rPr>
                <w:sz w:val="14"/>
                <w:szCs w:val="14"/>
              </w:rPr>
              <w:t xml:space="preserve">0 %</w:t>
            </w:r>
          </w:p>
        </w:tc>
        <w:tc>
          <w:tcPr>
            <w:tcW w:w="1700" w:type="dxa"/>
            <w:vAlign w:val="center"/>
          </w:tcPr>
          <w:p>
            <w:pPr>
              <w:spacing w:before="20" w:after="20"/>
              <w:jc w:val="right"/>
            </w:pPr>
            <w:r>
              <w:rPr>
                <w:sz w:val="14"/>
                <w:szCs w:val="14"/>
              </w:rPr>
              <w:t xml:space="preserve">0,3</w:t>
            </w:r>
          </w:p>
        </w:tc>
        <w:tc>
          <w:tcPr>
            <w:tcW w:w="1500" w:type="dxa"/>
            <w:vAlign w:val="center"/>
          </w:tcPr>
          <w:p>
            <w:pPr>
              <w:spacing w:before="20" w:after="20"/>
              <w:jc w:val="right"/>
            </w:pPr>
            <w:r>
              <w:rPr>
                <w:sz w:val="14"/>
                <w:szCs w:val="14"/>
              </w:rPr>
              <w:t xml:space="preserve">+0,08</w:t>
            </w:r>
          </w:p>
        </w:tc>
        <w:tc>
          <w:tcPr>
            <w:tcW w:w="1500" w:type="dxa"/>
            <w:vAlign w:val="center"/>
          </w:tcPr>
          <w:p>
            <w:pPr>
              <w:spacing w:before="20" w:after="20"/>
              <w:jc w:val="right"/>
            </w:pPr>
            <w:r>
              <w:rPr>
                <w:sz w:val="14"/>
                <w:szCs w:val="14"/>
              </w:rPr>
              <w:t xml:space="preserve">+0,01</w:t>
            </w:r>
          </w:p>
        </w:tc>
        <w:tc>
          <w:tcPr>
            <w:tcW w:w="1600" w:type="dxa"/>
            <w:vAlign w:val="center"/>
          </w:tcPr>
          <w:p>
            <w:pPr>
              <w:spacing w:before="20" w:after="20"/>
              <w:jc w:val="right"/>
            </w:pPr>
            <w:r>
              <w:rPr>
                <w:sz w:val="14"/>
                <w:szCs w:val="14"/>
              </w:rPr>
              <w:t xml:space="preserve">−0,10</w:t>
            </w:r>
          </w:p>
        </w:tc>
      </w:tr>
      <w:tr>
        <w:trPr>
          <w:cantSplit/>
        </w:trPr>
        <w:tc>
          <w:tcPr>
            <w:tcW w:w="1900" w:type="dxa"/>
            <w:shd w:val="clear" w:color="auto" w:fill="F2F4F7"/>
            <w:vAlign w:val="center"/>
          </w:tcPr>
          <w:p>
            <w:pPr>
              <w:spacing w:before="20" w:after="20"/>
              <w:jc w:val="left"/>
            </w:pPr>
            <w:r>
              <w:rPr>
                <w:b/>
                <w:sz w:val="14"/>
                <w:szCs w:val="14"/>
              </w:rPr>
              <w:t xml:space="preserve">Robusta mondial</w:t>
            </w:r>
          </w:p>
        </w:tc>
        <w:tc>
          <w:tcPr>
            <w:tcW w:w="1600" w:type="dxa"/>
            <w:shd w:val="clear" w:color="auto" w:fill="F2F4F7"/>
            <w:vAlign w:val="center"/>
          </w:tcPr>
          <w:p>
            <w:pPr>
              <w:spacing w:before="20" w:after="20"/>
              <w:jc w:val="right"/>
            </w:pPr>
            <w:r>
              <w:rPr>
                <w:sz w:val="14"/>
                <w:szCs w:val="14"/>
              </w:rPr>
              <w:t xml:space="preserve">—</w:t>
            </w:r>
          </w:p>
        </w:tc>
        <w:tc>
          <w:tcPr>
            <w:tcW w:w="1700" w:type="dxa"/>
            <w:shd w:val="clear" w:color="auto" w:fill="F2F4F7"/>
            <w:vAlign w:val="center"/>
          </w:tcPr>
          <w:p>
            <w:pPr>
              <w:spacing w:before="20" w:after="20"/>
              <w:jc w:val="right"/>
            </w:pPr>
            <w:r>
              <w:rPr>
                <w:sz w:val="14"/>
                <w:szCs w:val="14"/>
              </w:rPr>
              <w:t xml:space="preserve"/>
            </w:r>
          </w:p>
        </w:tc>
        <w:tc>
          <w:tcPr>
            <w:tcW w:w="1500" w:type="dxa"/>
            <w:shd w:val="clear" w:color="auto" w:fill="F2F4F7"/>
            <w:vAlign w:val="center"/>
          </w:tcPr>
          <w:p>
            <w:pPr>
              <w:spacing w:before="20" w:after="20"/>
              <w:jc w:val="right"/>
            </w:pPr>
            <w:r>
              <w:rPr>
                <w:sz w:val="14"/>
                <w:szCs w:val="14"/>
              </w:rPr>
              <w:t xml:space="preserve">+1,28</w:t>
            </w:r>
          </w:p>
        </w:tc>
        <w:tc>
          <w:tcPr>
            <w:tcW w:w="1500" w:type="dxa"/>
            <w:shd w:val="clear" w:color="auto" w:fill="F2F4F7"/>
            <w:vAlign w:val="center"/>
          </w:tcPr>
          <w:p>
            <w:pPr>
              <w:spacing w:before="20" w:after="20"/>
              <w:jc w:val="right"/>
            </w:pPr>
            <w:r>
              <w:rPr>
                <w:sz w:val="14"/>
                <w:szCs w:val="14"/>
              </w:rPr>
              <w:t xml:space="preserve">−0,61</w:t>
            </w:r>
          </w:p>
        </w:tc>
        <w:tc>
          <w:tcPr>
            <w:tcW w:w="1600" w:type="dxa"/>
            <w:shd w:val="clear" w:color="auto" w:fill="F2F4F7"/>
            <w:vAlign w:val="center"/>
          </w:tcPr>
          <w:p>
            <w:pPr>
              <w:spacing w:before="20" w:after="20"/>
              <w:jc w:val="right"/>
            </w:pPr>
            <w:r>
              <w:rPr>
                <w:sz w:val="14"/>
                <w:szCs w:val="14"/>
              </w:rPr>
              <w:t xml:space="preserve"/>
            </w:r>
          </w:p>
        </w:tc>
      </w:tr>
    </w:tbl>
    <w:p>
      <w:pPr>
        <w:spacing w:after="60"/>
      </w:pPr>
      <w:r>
        <w:t xml:space="preserve"/>
      </w:r>
    </w:p>
    <w:p>
      <w:pPr>
        <w:pStyle w:val="Note"/>
      </w:pPr>
      <w:r>
        <w:t xml:space="preserve">Parts (entre ces cinq origines), écarts types et tendances sur 2011/12-2025/26 ; corrélations sur les croissances 2012/13-2025/26 (n = 14). 2010/11 exclue : saut de niveau du Vietnam (19,4 puis 26,0 M sacs).</w:t>
      </w:r>
    </w:p>
    <w:p>
      <w:r>
        <w:t xml:space="preserve">Lecture : depuis 2011/12, le conilon brésilien pèse environ deux fois plus que le Vietnam dans les à-coups de l'offre robusta (53 % contre 26 % ; Indonésie 19 %) et il fait l'essentiel de sa croissance (+0,75 M sacs par an contre +0,22). Le Vietnam reste pourtant le premier producteur en volume (31,7 M sacs en 2025/26, 38 % du robusta mondial, contre 25,0 M pour le conilon). Pourquoi partir de 2011/12 ? Le Vietnam a fait un saut de niveau : 19,4 M sacs en 2010/11, 26,0 M en 2011/12 (+34 % en un an, après 17 à 19,5 M sacs de 2006/07 à 2010/11). Ses exportations suivent (18,6 puis 24,5 M sacs), mais la statistique officielle vietnamienne (FAOSTAT) ne montre que +15 %. Réel ou en partie une révision des estimations, ce saut n'est pas un à-coup de récolte : compté comme un écart à la tendance, il ferait passer le Vietnam pour aussi instable que le conilon (41 % chacun). Les récoltes du Vietnam et du conilon ne se suivent pas (corrélations de −0,55 à +0,35 selon le décalage de −2 à +2 ans, rien de significatif). Le DF est lié à la récolte robusta mondiale de la campagne USDA (r = −0,61), mais ce lien disparaît si l'on cale les récoltes sur leurs dates (−0,13) : c'est un indice, pas un résultat établi. Le Vietnam et l'Indonésie produisent un peu plus l'année qui suit un DF élevé (+0,38 et +0,47, non significatifs) ; pour le conilon, on ne détecte aucune réponse au DF en dollars, mais le test est peu puissant et le prix en réals n'a pas été testé. Réponse à votre question : ni « le Vietnam mène et le Brésil suit », ni l'inverse, de façon démontrable. Le conilon est le premier moteur de l'offre robusta, en croissance comme en à-coups.</w:t>
      </w:r>
    </w:p>
    <w:p>
      <w:r>
        <w:br w:type="page"/>
      </w:r>
    </w:p>
    <w:p>
      <w:pPr>
        <w:pStyle w:val="Heading1"/>
        <w:keepNext/>
      </w:pPr>
      <w:r>
        <w:t xml:space="preserve">7. Arabica : le Brésil, la Colombie et l'Amérique centrale</w:t>
      </w:r>
    </w:p>
    <w:p>
      <w:pPr>
        <w:pStyle w:val="Figure"/>
        <w:keepNext/>
      </w:pPr>
      <w:r>
        <w:drawing>
          <wp:inline distT="0" distB="0" distL="0" distR="0">
            <wp:extent cx="5940000" cy="2585849"/>
            <wp:docPr id="11" name="Graphique 11"/>
            <wp:cNvGraphicFramePr>
              <a:graphicFrameLocks noChangeAspect="1"/>
            </wp:cNvGraphicFramePr>
            <a:graphic>
              <a:graphicData uri="http://schemas.openxmlformats.org/drawingml/2006/picture">
                <pic:pic>
                  <pic:nvPicPr>
                    <pic:cNvPr id="11" name="graphique11.png"/>
                    <pic:cNvPicPr/>
                  </pic:nvPicPr>
                  <pic:blipFill>
                    <a:blip r:embed="rIdImg11"/>
                    <a:stretch>
                      <a:fillRect/>
                    </a:stretch>
                  </pic:blipFill>
                  <pic:spPr>
                    <a:xfrm>
                      <a:off x="0" y="0"/>
                      <a:ext cx="5940000" cy="2585849"/>
                    </a:xfrm>
                    <a:prstGeom prst="rect">
                      <a:avLst/>
                    </a:prstGeom>
                  </pic:spPr>
                </pic:pic>
              </a:graphicData>
            </a:graphic>
          </wp:inline>
        </w:drawing>
      </w:r>
    </w:p>
    <w:p>
      <w:pPr>
        <w:pStyle w:val="Caption"/>
      </w:pPr>
      <w:r>
        <w:t xml:space="preserve">Graphique 11 — Variation annuelle de la production d'arabica (M sacs) et KC1.</w:t>
      </w:r>
    </w:p>
    <w:tbl>
      <w:tblPr>
        <w:tblStyle w:val="Grille"/>
        <w:tblW w:w="98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70" w:type="dxa"/>
          <w:right w:w="70" w:type="dxa"/>
        </w:tblCellMar>
      </w:tblPr>
      <w:tblGrid>
        <w:gridCol w:w="2200"/>
        <w:gridCol w:w="1600"/>
        <w:gridCol w:w="1600"/>
        <w:gridCol w:w="1400"/>
        <w:gridCol w:w="1500"/>
        <w:gridCol w:w="1500"/>
      </w:tblGrid>
      <w:tr>
        <w:trPr>
          <w:tblHeader/>
        </w:trPr>
        <w:tc>
          <w:tcPr>
            <w:tcW w:w="2200" w:type="dxa"/>
            <w:shd w:val="clear" w:color="auto" w:fill="1F3864"/>
            <w:vAlign w:val="center"/>
          </w:tcPr>
          <w:p>
            <w:pPr>
              <w:spacing w:before="20" w:after="20"/>
              <w:jc w:val="center"/>
            </w:pPr>
            <w:r>
              <w:rPr>
                <w:b/>
                <w:color w:val="FFFFFF"/>
                <w:sz w:val="14"/>
                <w:szCs w:val="14"/>
              </w:rPr>
              <w:t xml:space="preserve">Origine</w:t>
            </w:r>
          </w:p>
        </w:tc>
        <w:tc>
          <w:tcPr>
            <w:tcW w:w="1600" w:type="dxa"/>
            <w:shd w:val="clear" w:color="auto" w:fill="1F3864"/>
            <w:vAlign w:val="center"/>
          </w:tcPr>
          <w:p>
            <w:pPr>
              <w:spacing w:before="20" w:after="20"/>
              <w:jc w:val="center"/>
            </w:pPr>
            <w:r>
              <w:rPr>
                <w:b/>
                <w:color w:val="FFFFFF"/>
                <w:sz w:val="14"/>
                <w:szCs w:val="14"/>
              </w:rPr>
              <w:t xml:space="preserve">Part des écarts de production arabica</w:t>
            </w:r>
          </w:p>
        </w:tc>
        <w:tc>
          <w:tcPr>
            <w:tcW w:w="1600" w:type="dxa"/>
            <w:shd w:val="clear" w:color="auto" w:fill="1F3864"/>
            <w:vAlign w:val="center"/>
          </w:tcPr>
          <w:p>
            <w:pPr>
              <w:spacing w:before="20" w:after="20"/>
              <w:jc w:val="center"/>
            </w:pPr>
            <w:r>
              <w:rPr>
                <w:b/>
                <w:color w:val="FFFFFF"/>
                <w:sz w:val="14"/>
                <w:szCs w:val="14"/>
              </w:rPr>
              <w:t xml:space="preserve">Écart type autour de la tendance (M sacs)</w:t>
            </w:r>
          </w:p>
        </w:tc>
        <w:tc>
          <w:tcPr>
            <w:tcW w:w="1400" w:type="dxa"/>
            <w:shd w:val="clear" w:color="auto" w:fill="1F3864"/>
            <w:vAlign w:val="center"/>
          </w:tcPr>
          <w:p>
            <w:pPr>
              <w:spacing w:before="20" w:after="20"/>
              <w:jc w:val="center"/>
            </w:pPr>
            <w:r>
              <w:rPr>
                <w:b/>
                <w:color w:val="FFFFFF"/>
                <w:sz w:val="14"/>
                <w:szCs w:val="14"/>
              </w:rPr>
              <w:t xml:space="preserve">Tendance (M sacs par an)</w:t>
            </w:r>
          </w:p>
        </w:tc>
        <w:tc>
          <w:tcPr>
            <w:tcW w:w="1500" w:type="dxa"/>
            <w:shd w:val="clear" w:color="auto" w:fill="1F3864"/>
            <w:vAlign w:val="center"/>
          </w:tcPr>
          <w:p>
            <w:pPr>
              <w:spacing w:before="20" w:after="20"/>
              <w:jc w:val="center"/>
            </w:pPr>
            <w:r>
              <w:rPr>
                <w:b/>
                <w:color w:val="FFFFFF"/>
                <w:sz w:val="14"/>
                <w:szCs w:val="14"/>
              </w:rPr>
              <w:t xml:space="preserve">r avec le KC (même campagne USDA)</w:t>
            </w:r>
          </w:p>
        </w:tc>
        <w:tc>
          <w:tcPr>
            <w:tcW w:w="1500" w:type="dxa"/>
            <w:shd w:val="clear" w:color="auto" w:fill="1F3864"/>
            <w:vAlign w:val="center"/>
          </w:tcPr>
          <w:p>
            <w:pPr>
              <w:spacing w:before="20" w:after="20"/>
              <w:jc w:val="center"/>
            </w:pPr>
            <w:r>
              <w:rPr>
                <w:b/>
                <w:color w:val="FFFFFF"/>
                <w:sz w:val="14"/>
                <w:szCs w:val="14"/>
              </w:rPr>
              <w:t xml:space="preserve">r avec le KC (campagne USDA suivante*)</w:t>
            </w:r>
          </w:p>
        </w:tc>
      </w:tr>
      <w:tr>
        <w:trPr>
          <w:cantSplit/>
        </w:trPr>
        <w:tc>
          <w:tcPr>
            <w:tcW w:w="2200" w:type="dxa"/>
            <w:vAlign w:val="center"/>
          </w:tcPr>
          <w:p>
            <w:pPr>
              <w:spacing w:before="20" w:after="20"/>
              <w:jc w:val="left"/>
            </w:pPr>
            <w:r>
              <w:rPr>
                <w:b/>
                <w:sz w:val="14"/>
                <w:szCs w:val="14"/>
              </w:rPr>
              <w:t xml:space="preserve">Brésil arabica</w:t>
            </w:r>
          </w:p>
        </w:tc>
        <w:tc>
          <w:tcPr>
            <w:tcW w:w="1600" w:type="dxa"/>
            <w:vAlign w:val="center"/>
          </w:tcPr>
          <w:p>
            <w:pPr>
              <w:spacing w:before="20" w:after="20"/>
              <w:jc w:val="right"/>
            </w:pPr>
            <w:r>
              <w:rPr>
                <w:sz w:val="14"/>
                <w:szCs w:val="14"/>
              </w:rPr>
              <w:t xml:space="preserve">70 %</w:t>
            </w:r>
          </w:p>
        </w:tc>
        <w:tc>
          <w:tcPr>
            <w:tcW w:w="1600" w:type="dxa"/>
            <w:vAlign w:val="center"/>
          </w:tcPr>
          <w:p>
            <w:pPr>
              <w:spacing w:before="20" w:after="20"/>
              <w:jc w:val="right"/>
            </w:pPr>
            <w:r>
              <w:rPr>
                <w:sz w:val="14"/>
                <w:szCs w:val="14"/>
              </w:rPr>
              <w:t xml:space="preserve">4,4</w:t>
            </w:r>
          </w:p>
        </w:tc>
        <w:tc>
          <w:tcPr>
            <w:tcW w:w="1400" w:type="dxa"/>
            <w:vAlign w:val="center"/>
          </w:tcPr>
          <w:p>
            <w:pPr>
              <w:spacing w:before="20" w:after="20"/>
              <w:jc w:val="right"/>
            </w:pPr>
            <w:r>
              <w:rPr>
                <w:sz w:val="14"/>
                <w:szCs w:val="14"/>
              </w:rPr>
              <w:t xml:space="preserve">+0,27</w:t>
            </w:r>
          </w:p>
        </w:tc>
        <w:tc>
          <w:tcPr>
            <w:tcW w:w="1500" w:type="dxa"/>
            <w:vAlign w:val="center"/>
          </w:tcPr>
          <w:p>
            <w:pPr>
              <w:spacing w:before="20" w:after="20"/>
              <w:jc w:val="right"/>
            </w:pPr>
            <w:r>
              <w:rPr>
                <w:sz w:val="14"/>
                <w:szCs w:val="14"/>
              </w:rPr>
              <w:t xml:space="preserve">−0,18</w:t>
            </w:r>
          </w:p>
        </w:tc>
        <w:tc>
          <w:tcPr>
            <w:tcW w:w="1500" w:type="dxa"/>
            <w:vAlign w:val="center"/>
          </w:tcPr>
          <w:p>
            <w:pPr>
              <w:spacing w:before="20" w:after="20"/>
              <w:jc w:val="right"/>
            </w:pPr>
            <w:r>
              <w:rPr>
                <w:sz w:val="14"/>
                <w:szCs w:val="14"/>
              </w:rPr>
              <w:t xml:space="preserve">−0,45</w:t>
            </w:r>
          </w:p>
        </w:tc>
      </w:tr>
      <w:tr>
        <w:trPr>
          <w:cantSplit/>
        </w:trPr>
        <w:tc>
          <w:tcPr>
            <w:tcW w:w="2200" w:type="dxa"/>
            <w:shd w:val="clear" w:color="auto" w:fill="F2F4F7"/>
            <w:vAlign w:val="center"/>
          </w:tcPr>
          <w:p>
            <w:pPr>
              <w:spacing w:before="20" w:after="20"/>
              <w:jc w:val="left"/>
            </w:pPr>
            <w:r>
              <w:rPr>
                <w:b/>
                <w:sz w:val="14"/>
                <w:szCs w:val="14"/>
              </w:rPr>
              <w:t xml:space="preserve">Colombie</w:t>
            </w:r>
          </w:p>
        </w:tc>
        <w:tc>
          <w:tcPr>
            <w:tcW w:w="1600" w:type="dxa"/>
            <w:shd w:val="clear" w:color="auto" w:fill="F2F4F7"/>
            <w:vAlign w:val="center"/>
          </w:tcPr>
          <w:p>
            <w:pPr>
              <w:spacing w:before="20" w:after="20"/>
              <w:jc w:val="right"/>
            </w:pPr>
            <w:r>
              <w:rPr>
                <w:sz w:val="14"/>
                <w:szCs w:val="14"/>
              </w:rPr>
              <w:t xml:space="preserve">15 %</w:t>
            </w:r>
          </w:p>
        </w:tc>
        <w:tc>
          <w:tcPr>
            <w:tcW w:w="1600" w:type="dxa"/>
            <w:shd w:val="clear" w:color="auto" w:fill="F2F4F7"/>
            <w:vAlign w:val="center"/>
          </w:tcPr>
          <w:p>
            <w:pPr>
              <w:spacing w:before="20" w:after="20"/>
              <w:jc w:val="right"/>
            </w:pPr>
            <w:r>
              <w:rPr>
                <w:sz w:val="14"/>
                <w:szCs w:val="14"/>
              </w:rPr>
              <w:t xml:space="preserve">1,7</w:t>
            </w:r>
          </w:p>
        </w:tc>
        <w:tc>
          <w:tcPr>
            <w:tcW w:w="1400" w:type="dxa"/>
            <w:shd w:val="clear" w:color="auto" w:fill="F2F4F7"/>
            <w:vAlign w:val="center"/>
          </w:tcPr>
          <w:p>
            <w:pPr>
              <w:spacing w:before="20" w:after="20"/>
              <w:jc w:val="right"/>
            </w:pPr>
            <w:r>
              <w:rPr>
                <w:sz w:val="14"/>
                <w:szCs w:val="14"/>
              </w:rPr>
              <w:t xml:space="preserve">+0,17</w:t>
            </w:r>
          </w:p>
        </w:tc>
        <w:tc>
          <w:tcPr>
            <w:tcW w:w="1500" w:type="dxa"/>
            <w:shd w:val="clear" w:color="auto" w:fill="F2F4F7"/>
            <w:vAlign w:val="center"/>
          </w:tcPr>
          <w:p>
            <w:pPr>
              <w:spacing w:before="20" w:after="20"/>
              <w:jc w:val="right"/>
            </w:pPr>
            <w:r>
              <w:rPr>
                <w:sz w:val="14"/>
                <w:szCs w:val="14"/>
              </w:rPr>
              <w:t xml:space="preserve">+0,07</w:t>
            </w:r>
          </w:p>
        </w:tc>
        <w:tc>
          <w:tcPr>
            <w:tcW w:w="1500" w:type="dxa"/>
            <w:shd w:val="clear" w:color="auto" w:fill="F2F4F7"/>
            <w:vAlign w:val="center"/>
          </w:tcPr>
          <w:p>
            <w:pPr>
              <w:spacing w:before="20" w:after="20"/>
              <w:jc w:val="right"/>
            </w:pPr>
            <w:r>
              <w:rPr>
                <w:sz w:val="14"/>
                <w:szCs w:val="14"/>
              </w:rPr>
              <w:t xml:space="preserve">−0,75</w:t>
            </w:r>
          </w:p>
        </w:tc>
      </w:tr>
      <w:tr>
        <w:trPr>
          <w:cantSplit/>
        </w:trPr>
        <w:tc>
          <w:tcPr>
            <w:tcW w:w="2200" w:type="dxa"/>
            <w:vAlign w:val="center"/>
          </w:tcPr>
          <w:p>
            <w:pPr>
              <w:spacing w:before="20" w:after="20"/>
              <w:jc w:val="left"/>
            </w:pPr>
            <w:r>
              <w:rPr>
                <w:b/>
                <w:sz w:val="14"/>
                <w:szCs w:val="14"/>
              </w:rPr>
              <w:t xml:space="preserve">Amérique centrale + Mexique</w:t>
            </w:r>
          </w:p>
        </w:tc>
        <w:tc>
          <w:tcPr>
            <w:tcW w:w="1600" w:type="dxa"/>
            <w:vAlign w:val="center"/>
          </w:tcPr>
          <w:p>
            <w:pPr>
              <w:spacing w:before="20" w:after="20"/>
              <w:jc w:val="right"/>
            </w:pPr>
            <w:r>
              <w:rPr>
                <w:sz w:val="14"/>
                <w:szCs w:val="14"/>
              </w:rPr>
              <w:t xml:space="preserve">13 %</w:t>
            </w:r>
          </w:p>
        </w:tc>
        <w:tc>
          <w:tcPr>
            <w:tcW w:w="1600" w:type="dxa"/>
            <w:vAlign w:val="center"/>
          </w:tcPr>
          <w:p>
            <w:pPr>
              <w:spacing w:before="20" w:after="20"/>
              <w:jc w:val="right"/>
            </w:pPr>
            <w:r>
              <w:rPr>
                <w:sz w:val="14"/>
                <w:szCs w:val="14"/>
              </w:rPr>
              <w:t xml:space="preserve">1,4</w:t>
            </w:r>
          </w:p>
        </w:tc>
        <w:tc>
          <w:tcPr>
            <w:tcW w:w="1400" w:type="dxa"/>
            <w:vAlign w:val="center"/>
          </w:tcPr>
          <w:p>
            <w:pPr>
              <w:spacing w:before="20" w:after="20"/>
              <w:jc w:val="right"/>
            </w:pPr>
            <w:r>
              <w:rPr>
                <w:sz w:val="14"/>
                <w:szCs w:val="14"/>
              </w:rPr>
              <w:t xml:space="preserve">−0,11</w:t>
            </w:r>
          </w:p>
        </w:tc>
        <w:tc>
          <w:tcPr>
            <w:tcW w:w="1500" w:type="dxa"/>
            <w:vAlign w:val="center"/>
          </w:tcPr>
          <w:p>
            <w:pPr>
              <w:spacing w:before="20" w:after="20"/>
              <w:jc w:val="right"/>
            </w:pPr>
            <w:r>
              <w:rPr>
                <w:sz w:val="14"/>
                <w:szCs w:val="14"/>
              </w:rPr>
              <w:t xml:space="preserve">−0,09</w:t>
            </w:r>
          </w:p>
        </w:tc>
        <w:tc>
          <w:tcPr>
            <w:tcW w:w="1500" w:type="dxa"/>
            <w:vAlign w:val="center"/>
          </w:tcPr>
          <w:p>
            <w:pPr>
              <w:spacing w:before="20" w:after="20"/>
              <w:jc w:val="right"/>
            </w:pPr>
            <w:r>
              <w:rPr>
                <w:sz w:val="14"/>
                <w:szCs w:val="14"/>
              </w:rPr>
              <w:t xml:space="preserve">+0,17</w:t>
            </w:r>
          </w:p>
        </w:tc>
      </w:tr>
      <w:tr>
        <w:trPr>
          <w:cantSplit/>
        </w:trPr>
        <w:tc>
          <w:tcPr>
            <w:tcW w:w="2200" w:type="dxa"/>
            <w:shd w:val="clear" w:color="auto" w:fill="F2F4F7"/>
            <w:vAlign w:val="center"/>
          </w:tcPr>
          <w:p>
            <w:pPr>
              <w:spacing w:before="20" w:after="20"/>
              <w:jc w:val="left"/>
            </w:pPr>
            <w:r>
              <w:rPr>
                <w:b/>
                <w:sz w:val="14"/>
                <w:szCs w:val="14"/>
              </w:rPr>
              <w:t xml:space="preserve">Éthiopie</w:t>
            </w:r>
          </w:p>
        </w:tc>
        <w:tc>
          <w:tcPr>
            <w:tcW w:w="1600" w:type="dxa"/>
            <w:shd w:val="clear" w:color="auto" w:fill="F2F4F7"/>
            <w:vAlign w:val="center"/>
          </w:tcPr>
          <w:p>
            <w:pPr>
              <w:spacing w:before="20" w:after="20"/>
              <w:jc w:val="right"/>
            </w:pPr>
            <w:r>
              <w:rPr>
                <w:sz w:val="14"/>
                <w:szCs w:val="14"/>
              </w:rPr>
              <w:t xml:space="preserve">1 %</w:t>
            </w:r>
          </w:p>
        </w:tc>
        <w:tc>
          <w:tcPr>
            <w:tcW w:w="1600" w:type="dxa"/>
            <w:shd w:val="clear" w:color="auto" w:fill="F2F4F7"/>
            <w:vAlign w:val="center"/>
          </w:tcPr>
          <w:p>
            <w:pPr>
              <w:spacing w:before="20" w:after="20"/>
              <w:jc w:val="right"/>
            </w:pPr>
            <w:r>
              <w:rPr>
                <w:sz w:val="14"/>
                <w:szCs w:val="14"/>
              </w:rPr>
              <w:t xml:space="preserve">0,9</w:t>
            </w:r>
          </w:p>
        </w:tc>
        <w:tc>
          <w:tcPr>
            <w:tcW w:w="1400" w:type="dxa"/>
            <w:shd w:val="clear" w:color="auto" w:fill="F2F4F7"/>
            <w:vAlign w:val="center"/>
          </w:tcPr>
          <w:p>
            <w:pPr>
              <w:spacing w:before="20" w:after="20"/>
              <w:jc w:val="right"/>
            </w:pPr>
            <w:r>
              <w:rPr>
                <w:sz w:val="14"/>
                <w:szCs w:val="14"/>
              </w:rPr>
              <w:t xml:space="preserve">+0,32</w:t>
            </w:r>
          </w:p>
        </w:tc>
        <w:tc>
          <w:tcPr>
            <w:tcW w:w="1500" w:type="dxa"/>
            <w:shd w:val="clear" w:color="auto" w:fill="F2F4F7"/>
            <w:vAlign w:val="center"/>
          </w:tcPr>
          <w:p>
            <w:pPr>
              <w:spacing w:before="20" w:after="20"/>
              <w:jc w:val="right"/>
            </w:pPr>
            <w:r>
              <w:rPr>
                <w:sz w:val="14"/>
                <w:szCs w:val="14"/>
              </w:rPr>
              <w:t xml:space="preserve">+0,61</w:t>
            </w:r>
          </w:p>
        </w:tc>
        <w:tc>
          <w:tcPr>
            <w:tcW w:w="1500" w:type="dxa"/>
            <w:shd w:val="clear" w:color="auto" w:fill="F2F4F7"/>
            <w:vAlign w:val="center"/>
          </w:tcPr>
          <w:p>
            <w:pPr>
              <w:spacing w:before="20" w:after="20"/>
              <w:jc w:val="right"/>
            </w:pPr>
            <w:r>
              <w:rPr>
                <w:sz w:val="14"/>
                <w:szCs w:val="14"/>
              </w:rPr>
              <w:t xml:space="preserve">−0,25</w:t>
            </w:r>
          </w:p>
        </w:tc>
      </w:tr>
      <w:tr>
        <w:trPr>
          <w:cantSplit/>
        </w:trPr>
        <w:tc>
          <w:tcPr>
            <w:tcW w:w="2200" w:type="dxa"/>
            <w:vAlign w:val="center"/>
          </w:tcPr>
          <w:p>
            <w:pPr>
              <w:spacing w:before="20" w:after="20"/>
              <w:jc w:val="left"/>
            </w:pPr>
            <w:r>
              <w:rPr>
                <w:b/>
                <w:sz w:val="14"/>
                <w:szCs w:val="14"/>
              </w:rPr>
              <w:t xml:space="preserve">Arabica mondial</w:t>
            </w:r>
          </w:p>
        </w:tc>
        <w:tc>
          <w:tcPr>
            <w:tcW w:w="1600" w:type="dxa"/>
            <w:vAlign w:val="center"/>
          </w:tcPr>
          <w:p>
            <w:pPr>
              <w:spacing w:before="20" w:after="20"/>
              <w:jc w:val="right"/>
            </w:pPr>
            <w:r>
              <w:rPr>
                <w:sz w:val="14"/>
                <w:szCs w:val="14"/>
              </w:rPr>
              <w:t xml:space="preserve">—</w:t>
            </w:r>
          </w:p>
        </w:tc>
        <w:tc>
          <w:tcPr>
            <w:tcW w:w="1600" w:type="dxa"/>
            <w:vAlign w:val="center"/>
          </w:tcPr>
          <w:p>
            <w:pPr>
              <w:spacing w:before="20" w:after="20"/>
              <w:jc w:val="right"/>
            </w:pPr>
            <w:r>
              <w:rPr>
                <w:sz w:val="14"/>
                <w:szCs w:val="14"/>
              </w:rPr>
              <w:t xml:space="preserve"/>
            </w:r>
          </w:p>
        </w:tc>
        <w:tc>
          <w:tcPr>
            <w:tcW w:w="1400" w:type="dxa"/>
            <w:vAlign w:val="center"/>
          </w:tcPr>
          <w:p>
            <w:pPr>
              <w:spacing w:before="20" w:after="20"/>
              <w:jc w:val="right"/>
            </w:pPr>
            <w:r>
              <w:rPr>
                <w:sz w:val="14"/>
                <w:szCs w:val="14"/>
              </w:rPr>
              <w:t xml:space="preserve">+0,57</w:t>
            </w:r>
          </w:p>
        </w:tc>
        <w:tc>
          <w:tcPr>
            <w:tcW w:w="1500" w:type="dxa"/>
            <w:vAlign w:val="center"/>
          </w:tcPr>
          <w:p>
            <w:pPr>
              <w:spacing w:before="20" w:after="20"/>
              <w:jc w:val="right"/>
            </w:pPr>
            <w:r>
              <w:rPr>
                <w:sz w:val="14"/>
                <w:szCs w:val="14"/>
              </w:rPr>
              <w:t xml:space="preserve">−0,08</w:t>
            </w:r>
          </w:p>
        </w:tc>
        <w:tc>
          <w:tcPr>
            <w:tcW w:w="1500" w:type="dxa"/>
            <w:vAlign w:val="center"/>
          </w:tcPr>
          <w:p>
            <w:pPr>
              <w:spacing w:before="20" w:after="20"/>
              <w:jc w:val="right"/>
            </w:pPr>
            <w:r>
              <w:rPr>
                <w:sz w:val="14"/>
                <w:szCs w:val="14"/>
              </w:rPr>
              <w:t xml:space="preserve">−0,49</w:t>
            </w:r>
          </w:p>
        </w:tc>
      </w:tr>
    </w:tbl>
    <w:p>
      <w:pPr>
        <w:spacing w:after="60"/>
      </w:pPr>
      <w:r>
        <w:t xml:space="preserve"/>
      </w:r>
    </w:p>
    <w:p>
      <w:pPr>
        <w:pStyle w:val="Note"/>
      </w:pPr>
      <w:r>
        <w:t xml:space="preserve">Parts (entre ces origines et le Pérou + Amérique du Sud), écarts types et tendances sur 2011/12-2025/26 ; corrélations sur 2011/12-2025/26 (n = 15). * Pour le Brésil (campagne USDA juillet-juin), la « campagne suivante » est la récolte d'avril-septembre qui tombe pendant la campagne de prix octobre-septembre.</w:t>
      </w:r>
    </w:p>
    <w:p>
      <w:r>
        <w:t xml:space="preserve">Lecture : l'arabica brésilien fait 70 % des à-coups de l'offre d'arabica, devant la Colombie (15 %) et l'Amérique centrale (13 %). Environ un tiers de ses écarts est son cycle biennal (environ 4,8 M sacs entre année haute et année basse), donc prévisible. Le KC réagit à la récolte brésilienne qui se forme : r = −0,45 avec sa croissance (p = 0,09), −0,55 avec son écart à la tendance (p = 0,03). La Colombie donne un lien plus fort (r = −0,75), mais sa « campagne suivante » est récoltée après la fin de la campagne de prix, et la production colombienne suit aussi le prix passé (r = +0,73 avec le KC détendancé de deux ans avant) : le sens du lien n'est pas établi. Aucun de ces résultats ne résiste à une correction pour tests multiples ; exemple de faux positif : la croissance éthiopienne « va avec » une hausse du KC la même campagne (r = +0,61), ce qui n'a pas de sens économique. Structurellement, l'arabica brésilien progresse peu (+0,27 M sacs par an depuis 2011/12, contre +0,75 pour le conilon) alors que la demande monte : c'est la principale fragilité du marché arabica.</w:t>
      </w:r>
    </w:p>
    <w:p>
      <w:r>
        <w:br w:type="page"/>
      </w:r>
    </w:p>
    <w:p>
      <w:pPr>
        <w:pStyle w:val="Heading1"/>
        <w:keepNext/>
      </w:pPr>
      <w:r>
        <w:t xml:space="preserve">8. KC et DF : pourquoi ils bougent ensemble</w:t>
      </w:r>
    </w:p>
    <w:p>
      <w:pPr>
        <w:pStyle w:val="Figure"/>
        <w:keepNext/>
      </w:pPr>
      <w:r>
        <w:drawing>
          <wp:inline distT="0" distB="0" distL="0" distR="0">
            <wp:extent cx="5940000" cy="2499845"/>
            <wp:docPr id="12" name="Graphique 12"/>
            <wp:cNvGraphicFramePr>
              <a:graphicFrameLocks noChangeAspect="1"/>
            </wp:cNvGraphicFramePr>
            <a:graphic>
              <a:graphicData uri="http://schemas.openxmlformats.org/drawingml/2006/picture">
                <pic:pic>
                  <pic:nvPicPr>
                    <pic:cNvPr id="12" name="graphique12.png"/>
                    <pic:cNvPicPr/>
                  </pic:nvPicPr>
                  <pic:blipFill>
                    <a:blip r:embed="rIdImg12"/>
                    <a:stretch>
                      <a:fillRect/>
                    </a:stretch>
                  </pic:blipFill>
                  <pic:spPr>
                    <a:xfrm>
                      <a:off x="0" y="0"/>
                      <a:ext cx="5940000" cy="2499845"/>
                    </a:xfrm>
                    <a:prstGeom prst="rect">
                      <a:avLst/>
                    </a:prstGeom>
                  </pic:spPr>
                </pic:pic>
              </a:graphicData>
            </a:graphic>
          </wp:inline>
        </w:drawing>
      </w:r>
    </w:p>
    <w:p>
      <w:pPr>
        <w:pStyle w:val="Caption"/>
      </w:pPr>
      <w:r>
        <w:t xml:space="preserve">Graphique 12 — KC1 et DF1 dans la même unité (c/lb), moyennes mensuelles, septembre 2010 – août 2026.</w:t>
      </w:r>
    </w:p>
    <w:p>
      <w:r>
        <w:t xml:space="preserve">Oui, c'est normal, et le lien se renforce. Sur 191 variations mensuelles (septembre 2010 → août 2026), la corrélation entre le KC et le DF est de 0,70 : environ la moitié des mouvements du DF va avec ceux du KC (R² = 0,49). Elle monte avec le temps : 0,61 en 2010-2015, 0,66 en 2016-2020, 0,78 depuis 2021 ; sur les 36 derniers mois, elle atteint 0,81, le plus haut de la période (le plus bas : 0,39, sur les 36 mois finissant en janvier 2014).</w:t>
      </w:r>
    </w:p>
    <w:tbl>
      <w:tblPr>
        <w:tblStyle w:val="Grille"/>
        <w:tblW w:w="98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70" w:type="dxa"/>
          <w:right w:w="70" w:type="dxa"/>
        </w:tblCellMar>
      </w:tblPr>
      <w:tblGrid>
        <w:gridCol w:w="2600"/>
        <w:gridCol w:w="4300"/>
        <w:gridCol w:w="2900"/>
      </w:tblGrid>
      <w:tr>
        <w:trPr>
          <w:tblHeader/>
        </w:trPr>
        <w:tc>
          <w:tcPr>
            <w:tcW w:w="2600" w:type="dxa"/>
            <w:shd w:val="clear" w:color="auto" w:fill="1F3864"/>
            <w:vAlign w:val="center"/>
          </w:tcPr>
          <w:p>
            <w:pPr>
              <w:spacing w:before="20" w:after="20"/>
              <w:jc w:val="center"/>
            </w:pPr>
            <w:r>
              <w:rPr>
                <w:b/>
                <w:color w:val="FFFFFF"/>
                <w:sz w:val="15"/>
                <w:szCs w:val="15"/>
              </w:rPr>
              <w:t xml:space="preserve">Famille</w:t>
            </w:r>
          </w:p>
        </w:tc>
        <w:tc>
          <w:tcPr>
            <w:tcW w:w="4300" w:type="dxa"/>
            <w:shd w:val="clear" w:color="auto" w:fill="1F3864"/>
            <w:vAlign w:val="center"/>
          </w:tcPr>
          <w:p>
            <w:pPr>
              <w:spacing w:before="20" w:after="20"/>
              <w:jc w:val="center"/>
            </w:pPr>
            <w:r>
              <w:rPr>
                <w:b/>
                <w:color w:val="FFFFFF"/>
                <w:sz w:val="15"/>
                <w:szCs w:val="15"/>
              </w:rPr>
              <w:t xml:space="preserve">Paire</w:t>
            </w:r>
          </w:p>
        </w:tc>
        <w:tc>
          <w:tcPr>
            <w:tcW w:w="2900" w:type="dxa"/>
            <w:shd w:val="clear" w:color="auto" w:fill="1F3864"/>
            <w:vAlign w:val="center"/>
          </w:tcPr>
          <w:p>
            <w:pPr>
              <w:spacing w:before="20" w:after="20"/>
              <w:jc w:val="center"/>
            </w:pPr>
            <w:r>
              <w:rPr>
                <w:b/>
                <w:color w:val="FFFFFF"/>
                <w:sz w:val="15"/>
                <w:szCs w:val="15"/>
              </w:rPr>
              <w:t xml:space="preserve">Corrélation des variations mensuelles</w:t>
            </w:r>
          </w:p>
        </w:tc>
      </w:tr>
      <w:tr>
        <w:trPr>
          <w:cantSplit/>
        </w:trPr>
        <w:tc>
          <w:tcPr>
            <w:tcW w:w="2600" w:type="dxa"/>
            <w:vAlign w:val="center"/>
          </w:tcPr>
          <w:p>
            <w:pPr>
              <w:spacing w:before="20" w:after="20"/>
              <w:jc w:val="left"/>
            </w:pPr>
            <w:r>
              <w:rPr>
                <w:b/>
                <w:sz w:val="15"/>
                <w:szCs w:val="15"/>
              </w:rPr>
              <w:t xml:space="preserve">Arabica / arabica</w:t>
            </w:r>
          </w:p>
        </w:tc>
        <w:tc>
          <w:tcPr>
            <w:tcW w:w="4300" w:type="dxa"/>
            <w:vAlign w:val="center"/>
          </w:tcPr>
          <w:p>
            <w:pPr>
              <w:spacing w:before="20" w:after="20"/>
              <w:jc w:val="right"/>
            </w:pPr>
            <w:r>
              <w:rPr>
                <w:sz w:val="15"/>
                <w:szCs w:val="15"/>
              </w:rPr>
              <w:t xml:space="preserve">KC / Brazilian Naturals</w:t>
            </w:r>
          </w:p>
        </w:tc>
        <w:tc>
          <w:tcPr>
            <w:tcW w:w="2900" w:type="dxa"/>
            <w:vAlign w:val="center"/>
          </w:tcPr>
          <w:p>
            <w:pPr>
              <w:spacing w:before="20" w:after="20"/>
              <w:jc w:val="right"/>
            </w:pPr>
            <w:r>
              <w:rPr>
                <w:sz w:val="15"/>
                <w:szCs w:val="15"/>
              </w:rPr>
              <w:t xml:space="preserve">0,99</w:t>
            </w:r>
          </w:p>
        </w:tc>
      </w:tr>
      <w:tr>
        <w:trPr>
          <w:cantSplit/>
        </w:trPr>
        <w:tc>
          <w:tcPr>
            <w:tcW w:w="2600" w:type="dxa"/>
            <w:shd w:val="clear" w:color="auto" w:fill="F2F4F7"/>
            <w:vAlign w:val="center"/>
          </w:tcPr>
          <w:p>
            <w:pPr>
              <w:spacing w:before="20" w:after="20"/>
              <w:jc w:val="left"/>
            </w:pPr>
            <w:r>
              <w:rPr>
                <w:b/>
                <w:sz w:val="15"/>
                <w:szCs w:val="15"/>
              </w:rPr>
              <w:t xml:space="preserve"/>
            </w:r>
          </w:p>
        </w:tc>
        <w:tc>
          <w:tcPr>
            <w:tcW w:w="4300" w:type="dxa"/>
            <w:shd w:val="clear" w:color="auto" w:fill="F2F4F7"/>
            <w:vAlign w:val="center"/>
          </w:tcPr>
          <w:p>
            <w:pPr>
              <w:spacing w:before="20" w:after="20"/>
              <w:jc w:val="right"/>
            </w:pPr>
            <w:r>
              <w:rPr>
                <w:sz w:val="15"/>
                <w:szCs w:val="15"/>
              </w:rPr>
              <w:t xml:space="preserve">Colombian Milds / Other Milds</w:t>
            </w:r>
          </w:p>
        </w:tc>
        <w:tc>
          <w:tcPr>
            <w:tcW w:w="2900" w:type="dxa"/>
            <w:shd w:val="clear" w:color="auto" w:fill="F2F4F7"/>
            <w:vAlign w:val="center"/>
          </w:tcPr>
          <w:p>
            <w:pPr>
              <w:spacing w:before="20" w:after="20"/>
              <w:jc w:val="right"/>
            </w:pPr>
            <w:r>
              <w:rPr>
                <w:sz w:val="15"/>
                <w:szCs w:val="15"/>
              </w:rPr>
              <w:t xml:space="preserve">0,98</w:t>
            </w:r>
          </w:p>
        </w:tc>
      </w:tr>
      <w:tr>
        <w:trPr>
          <w:cantSplit/>
        </w:trPr>
        <w:tc>
          <w:tcPr>
            <w:tcW w:w="2600" w:type="dxa"/>
            <w:vAlign w:val="center"/>
          </w:tcPr>
          <w:p>
            <w:pPr>
              <w:spacing w:before="20" w:after="20"/>
              <w:jc w:val="left"/>
            </w:pPr>
            <w:r>
              <w:rPr>
                <w:b/>
                <w:sz w:val="15"/>
                <w:szCs w:val="15"/>
              </w:rPr>
              <w:t xml:space="preserve"/>
            </w:r>
          </w:p>
        </w:tc>
        <w:tc>
          <w:tcPr>
            <w:tcW w:w="4300" w:type="dxa"/>
            <w:vAlign w:val="center"/>
          </w:tcPr>
          <w:p>
            <w:pPr>
              <w:spacing w:before="20" w:after="20"/>
              <w:jc w:val="right"/>
            </w:pPr>
            <w:r>
              <w:rPr>
                <w:sz w:val="15"/>
                <w:szCs w:val="15"/>
              </w:rPr>
              <w:t xml:space="preserve">Brazilian Naturals / Colombian Milds</w:t>
            </w:r>
          </w:p>
        </w:tc>
        <w:tc>
          <w:tcPr>
            <w:tcW w:w="2900" w:type="dxa"/>
            <w:vAlign w:val="center"/>
          </w:tcPr>
          <w:p>
            <w:pPr>
              <w:spacing w:before="20" w:after="20"/>
              <w:jc w:val="right"/>
            </w:pPr>
            <w:r>
              <w:rPr>
                <w:sz w:val="15"/>
                <w:szCs w:val="15"/>
              </w:rPr>
              <w:t xml:space="preserve">0,97</w:t>
            </w:r>
          </w:p>
        </w:tc>
      </w:tr>
      <w:tr>
        <w:trPr>
          <w:cantSplit/>
        </w:trPr>
        <w:tc>
          <w:tcPr>
            <w:tcW w:w="2600" w:type="dxa"/>
            <w:shd w:val="clear" w:color="auto" w:fill="F2F4F7"/>
            <w:vAlign w:val="center"/>
          </w:tcPr>
          <w:p>
            <w:pPr>
              <w:spacing w:before="20" w:after="20"/>
              <w:jc w:val="left"/>
            </w:pPr>
            <w:r>
              <w:rPr>
                <w:b/>
                <w:sz w:val="15"/>
                <w:szCs w:val="15"/>
              </w:rPr>
              <w:t xml:space="preserve">Robusta / robusta</w:t>
            </w:r>
          </w:p>
        </w:tc>
        <w:tc>
          <w:tcPr>
            <w:tcW w:w="4300" w:type="dxa"/>
            <w:shd w:val="clear" w:color="auto" w:fill="F2F4F7"/>
            <w:vAlign w:val="center"/>
          </w:tcPr>
          <w:p>
            <w:pPr>
              <w:spacing w:before="20" w:after="20"/>
              <w:jc w:val="right"/>
            </w:pPr>
            <w:r>
              <w:rPr>
                <w:sz w:val="15"/>
                <w:szCs w:val="15"/>
              </w:rPr>
              <w:t xml:space="preserve">DF / indicateur Robustas (ICO)</w:t>
            </w:r>
          </w:p>
        </w:tc>
        <w:tc>
          <w:tcPr>
            <w:tcW w:w="2900" w:type="dxa"/>
            <w:shd w:val="clear" w:color="auto" w:fill="F2F4F7"/>
            <w:vAlign w:val="center"/>
          </w:tcPr>
          <w:p>
            <w:pPr>
              <w:spacing w:before="20" w:after="20"/>
              <w:jc w:val="right"/>
            </w:pPr>
            <w:r>
              <w:rPr>
                <w:sz w:val="15"/>
                <w:szCs w:val="15"/>
              </w:rPr>
              <w:t xml:space="preserve">0,99</w:t>
            </w:r>
          </w:p>
        </w:tc>
      </w:tr>
      <w:tr>
        <w:trPr>
          <w:cantSplit/>
        </w:trPr>
        <w:tc>
          <w:tcPr>
            <w:tcW w:w="2600" w:type="dxa"/>
            <w:vAlign w:val="center"/>
          </w:tcPr>
          <w:p>
            <w:pPr>
              <w:spacing w:before="20" w:after="20"/>
              <w:jc w:val="left"/>
            </w:pPr>
            <w:r>
              <w:rPr>
                <w:b/>
                <w:sz w:val="15"/>
                <w:szCs w:val="15"/>
              </w:rPr>
              <w:t xml:space="preserve">Arabica / robusta</w:t>
            </w:r>
          </w:p>
        </w:tc>
        <w:tc>
          <w:tcPr>
            <w:tcW w:w="4300" w:type="dxa"/>
            <w:vAlign w:val="center"/>
          </w:tcPr>
          <w:p>
            <w:pPr>
              <w:spacing w:before="20" w:after="20"/>
              <w:jc w:val="right"/>
            </w:pPr>
            <w:r>
              <w:rPr>
                <w:sz w:val="15"/>
                <w:szCs w:val="15"/>
              </w:rPr>
              <w:t xml:space="preserve">KC / DF</w:t>
            </w:r>
          </w:p>
        </w:tc>
        <w:tc>
          <w:tcPr>
            <w:tcW w:w="2900" w:type="dxa"/>
            <w:vAlign w:val="center"/>
          </w:tcPr>
          <w:p>
            <w:pPr>
              <w:spacing w:before="20" w:after="20"/>
              <w:jc w:val="right"/>
            </w:pPr>
            <w:r>
              <w:rPr>
                <w:sz w:val="15"/>
                <w:szCs w:val="15"/>
              </w:rPr>
              <w:t xml:space="preserve">0,70</w:t>
            </w:r>
          </w:p>
        </w:tc>
      </w:tr>
      <w:tr>
        <w:trPr>
          <w:cantSplit/>
        </w:trPr>
        <w:tc>
          <w:tcPr>
            <w:tcW w:w="2600" w:type="dxa"/>
            <w:shd w:val="clear" w:color="auto" w:fill="F2F4F7"/>
            <w:vAlign w:val="center"/>
          </w:tcPr>
          <w:p>
            <w:pPr>
              <w:spacing w:before="20" w:after="20"/>
              <w:jc w:val="left"/>
            </w:pPr>
            <w:r>
              <w:rPr>
                <w:b/>
                <w:sz w:val="15"/>
                <w:szCs w:val="15"/>
              </w:rPr>
              <w:t xml:space="preserve"/>
            </w:r>
          </w:p>
        </w:tc>
        <w:tc>
          <w:tcPr>
            <w:tcW w:w="4300" w:type="dxa"/>
            <w:shd w:val="clear" w:color="auto" w:fill="F2F4F7"/>
            <w:vAlign w:val="center"/>
          </w:tcPr>
          <w:p>
            <w:pPr>
              <w:spacing w:before="20" w:after="20"/>
              <w:jc w:val="right"/>
            </w:pPr>
            <w:r>
              <w:rPr>
                <w:sz w:val="15"/>
                <w:szCs w:val="15"/>
              </w:rPr>
              <w:t xml:space="preserve">Brazilian Naturals / Robustas</w:t>
            </w:r>
          </w:p>
        </w:tc>
        <w:tc>
          <w:tcPr>
            <w:tcW w:w="2900" w:type="dxa"/>
            <w:shd w:val="clear" w:color="auto" w:fill="F2F4F7"/>
            <w:vAlign w:val="center"/>
          </w:tcPr>
          <w:p>
            <w:pPr>
              <w:spacing w:before="20" w:after="20"/>
              <w:jc w:val="right"/>
            </w:pPr>
            <w:r>
              <w:rPr>
                <w:sz w:val="15"/>
                <w:szCs w:val="15"/>
              </w:rPr>
              <w:t xml:space="preserve">0,66</w:t>
            </w:r>
          </w:p>
        </w:tc>
      </w:tr>
      <w:tr>
        <w:trPr>
          <w:cantSplit/>
        </w:trPr>
        <w:tc>
          <w:tcPr>
            <w:tcW w:w="2600" w:type="dxa"/>
            <w:vAlign w:val="center"/>
          </w:tcPr>
          <w:p>
            <w:pPr>
              <w:spacing w:before="20" w:after="20"/>
              <w:jc w:val="left"/>
            </w:pPr>
            <w:r>
              <w:rPr>
                <w:b/>
                <w:sz w:val="15"/>
                <w:szCs w:val="15"/>
              </w:rPr>
              <w:t xml:space="preserve"/>
            </w:r>
          </w:p>
        </w:tc>
        <w:tc>
          <w:tcPr>
            <w:tcW w:w="4300" w:type="dxa"/>
            <w:vAlign w:val="center"/>
          </w:tcPr>
          <w:p>
            <w:pPr>
              <w:spacing w:before="20" w:after="20"/>
              <w:jc w:val="right"/>
            </w:pPr>
            <w:r>
              <w:rPr>
                <w:sz w:val="15"/>
                <w:szCs w:val="15"/>
              </w:rPr>
              <w:t xml:space="preserve">Colombian Milds / Robustas</w:t>
            </w:r>
          </w:p>
        </w:tc>
        <w:tc>
          <w:tcPr>
            <w:tcW w:w="2900" w:type="dxa"/>
            <w:vAlign w:val="center"/>
          </w:tcPr>
          <w:p>
            <w:pPr>
              <w:spacing w:before="20" w:after="20"/>
              <w:jc w:val="right"/>
            </w:pPr>
            <w:r>
              <w:rPr>
                <w:sz w:val="15"/>
                <w:szCs w:val="15"/>
              </w:rPr>
              <w:t xml:space="preserve">0,65</w:t>
            </w:r>
          </w:p>
        </w:tc>
      </w:tr>
      <w:tr>
        <w:trPr>
          <w:cantSplit/>
        </w:trPr>
        <w:tc>
          <w:tcPr>
            <w:tcW w:w="2600" w:type="dxa"/>
            <w:shd w:val="clear" w:color="auto" w:fill="F2F4F7"/>
            <w:vAlign w:val="center"/>
          </w:tcPr>
          <w:p>
            <w:pPr>
              <w:spacing w:before="20" w:after="20"/>
              <w:jc w:val="left"/>
            </w:pPr>
            <w:r>
              <w:rPr>
                <w:b/>
                <w:sz w:val="15"/>
                <w:szCs w:val="15"/>
              </w:rPr>
              <w:t xml:space="preserve"/>
            </w:r>
          </w:p>
        </w:tc>
        <w:tc>
          <w:tcPr>
            <w:tcW w:w="4300" w:type="dxa"/>
            <w:shd w:val="clear" w:color="auto" w:fill="F2F4F7"/>
            <w:vAlign w:val="center"/>
          </w:tcPr>
          <w:p>
            <w:pPr>
              <w:spacing w:before="20" w:after="20"/>
              <w:jc w:val="right"/>
            </w:pPr>
            <w:r>
              <w:rPr>
                <w:sz w:val="15"/>
                <w:szCs w:val="15"/>
              </w:rPr>
              <w:t xml:space="preserve">Other Milds / Robustas</w:t>
            </w:r>
          </w:p>
        </w:tc>
        <w:tc>
          <w:tcPr>
            <w:tcW w:w="2900" w:type="dxa"/>
            <w:shd w:val="clear" w:color="auto" w:fill="F2F4F7"/>
            <w:vAlign w:val="center"/>
          </w:tcPr>
          <w:p>
            <w:pPr>
              <w:spacing w:before="20" w:after="20"/>
              <w:jc w:val="right"/>
            </w:pPr>
            <w:r>
              <w:rPr>
                <w:sz w:val="15"/>
                <w:szCs w:val="15"/>
              </w:rPr>
              <w:t xml:space="preserve">0,64</w:t>
            </w:r>
          </w:p>
        </w:tc>
      </w:tr>
    </w:tbl>
    <w:p>
      <w:pPr>
        <w:spacing w:after="60"/>
      </w:pPr>
      <w:r>
        <w:t xml:space="preserve"/>
      </w:r>
    </w:p>
    <w:p>
      <w:pPr>
        <w:pStyle w:val="Note"/>
      </w:pPr>
      <w:r>
        <w:t xml:space="preserve">Indicateurs ICO (prix physiques) et 2e position ICE (KC, DF), moyennes mensuelles, 191 variations.</w:t>
      </w:r>
    </w:p>
    <w:p>
      <w:r>
        <w:t xml:space="preserve">Lecture : les arabicas entre eux sont presque des jumeaux (0,97 à 0,99). L'arabica et le robusta sont des cousins : liés, mais chacun garde à peu près la moitié de ses mouvements pour lui.</w:t>
      </w:r>
    </w:p>
    <w:p>
      <w:pPr>
        <w:pStyle w:val="Heading2"/>
        <w:keepNext/>
      </w:pPr>
      <w:r>
        <w:t xml:space="preserve">Pourquoi ils se suivent</w:t>
      </w:r>
    </w:p>
    <w:p>
      <w:pPr>
        <w:pStyle w:val="ListBullet"/>
        <w:numPr>
          <w:ilvl w:val="0"/>
          <w:numId w:val="1"/>
        </w:numPr>
      </w:pPr>
      <w:r>
        <w:rPr>
          <w:b/>
        </w:rPr>
        <w:t xml:space="preserve">Pas à cause des récoltes. </w:t>
      </w:r>
      <w:r>
        <w:t xml:space="preserve">Les récoltes d'arabica et de robusta ne montent pas ensemble : −0,46 la même campagne, à peu près 0 (+0,01 à +0,16 selon le calage) entre les récoltes que chaque prix regarde. Même au Brésil, l'arabica et le conilon ne bougent pas ensemble (−0,23). Une fois retiré l'effet des deux récoltes, les variations annuelles du KC et du DF restent corrélées à 0,65-0,75 selon le calage (0,71 sans correction). Le lien vient donc du marché.</w:t>
      </w:r>
    </w:p>
    <w:p>
      <w:pPr>
        <w:pStyle w:val="ListBullet"/>
        <w:numPr>
          <w:ilvl w:val="0"/>
          <w:numId w:val="1"/>
        </w:numPr>
      </w:pPr>
      <w:r>
        <w:rPr>
          <w:b/>
        </w:rPr>
        <w:t xml:space="preserve">La substitution. </w:t>
      </w:r>
      <w:r>
        <w:t xml:space="preserve">Beaucoup de mélanges (expresso, café de grande surface) combinent arabica et robusta, et le soluble utilise surtout du robusta. Quand l'écart de prix change, les torréfacteurs ajustent la part de robusta, dans la limite du goût : un choc sur un marché se transmet en partie à l'autre. On le voit dans le ratio KC/DF : chaque prix a été multiplié par plus de 4 entre son plus bas et son plus haut (KC de 95 à 388 c/lb ; DF de 54 à 253 c/lb, soit 1 199 à 5 588 $/t), alors que le ratio n'a varié que de 1,13 à 2,74 et reste 80 % du temps entre 1,45 et 2,38. En 2021, le gel ne touche que l'arabica, et pourtant le DF monte de 42 % entre juin et décembre (KC +50 %) ; d'autres facteurs communs jouaient aussi cette année-là (conteneurs, confinement au Vietnam). Sur 15 ans, le robusta est passé de 38 % à 47 % de la production mondiale et le marché l'a absorbé : les recettes s'adaptent.</w:t>
      </w:r>
    </w:p>
    <w:p>
      <w:pPr>
        <w:pStyle w:val="ListBullet"/>
        <w:numPr>
          <w:ilvl w:val="0"/>
          <w:numId w:val="1"/>
        </w:numPr>
      </w:pPr>
      <w:r>
        <w:rPr>
          <w:b/>
        </w:rPr>
        <w:t xml:space="preserve">Les facteurs communs. </w:t>
      </w:r>
      <w:r>
        <w:t xml:space="preserve">Le Brésil produit 40 % de l'arabica mondial et 30 % du robusta (2025/26) : le real brésilien et le rythme de vente des producteurs brésiliens pèsent sur les deux prix. S'y ajoutent le dollar, les flux des fonds, les taux et le fret. Ces facteurs ne sont pas mesurés ici (pas de séries de change ni de positions des fonds dans les données).</w:t>
      </w:r>
    </w:p>
    <w:p>
      <w:pPr>
        <w:pStyle w:val="Figure"/>
        <w:keepNext/>
      </w:pPr>
      <w:r>
        <w:drawing>
          <wp:inline distT="0" distB="0" distL="0" distR="0">
            <wp:extent cx="5940000" cy="2499845"/>
            <wp:docPr id="13" name="Graphique 13"/>
            <wp:cNvGraphicFramePr>
              <a:graphicFrameLocks noChangeAspect="1"/>
            </wp:cNvGraphicFramePr>
            <a:graphic>
              <a:graphicData uri="http://schemas.openxmlformats.org/drawingml/2006/picture">
                <pic:pic>
                  <pic:nvPicPr>
                    <pic:cNvPr id="13" name="graphique13.png"/>
                    <pic:cNvPicPr/>
                  </pic:nvPicPr>
                  <pic:blipFill>
                    <a:blip r:embed="rIdImg13"/>
                    <a:stretch>
                      <a:fillRect/>
                    </a:stretch>
                  </pic:blipFill>
                  <pic:spPr>
                    <a:xfrm>
                      <a:off x="0" y="0"/>
                      <a:ext cx="5940000" cy="2499845"/>
                    </a:xfrm>
                    <a:prstGeom prst="rect">
                      <a:avLst/>
                    </a:prstGeom>
                  </pic:spPr>
                </pic:pic>
              </a:graphicData>
            </a:graphic>
          </wp:inline>
        </w:drawing>
      </w:r>
    </w:p>
    <w:p>
      <w:pPr>
        <w:pStyle w:val="Caption"/>
      </w:pPr>
      <w:r>
        <w:t xml:space="preserve">Graphique 13 — Ratio KC/DF mensuel (les deux en c/lb), avec sa moyenne et ses 10e et 90e centiles.</w:t>
      </w:r>
    </w:p>
    <w:p>
      <w:pPr>
        <w:pStyle w:val="Heading2"/>
        <w:keepNext/>
      </w:pPr>
      <w:r>
        <w:t xml:space="preserve">Quand ils se séparent</w:t>
      </w:r>
    </w:p>
    <w:p>
      <w:r>
        <w:t xml:space="preserve">Quand une seule espèce subit un choc :</w:t>
      </w:r>
    </w:p>
    <w:p>
      <w:pPr>
        <w:pStyle w:val="ListBullet"/>
        <w:numPr>
          <w:ilvl w:val="0"/>
          <w:numId w:val="1"/>
        </w:numPr>
      </w:pPr>
      <w:r>
        <w:t xml:space="preserve">2011 : arabica rare (production mondiale d'arabica −3,9 % en 2011/12, robusta +12,0 %). Ratio record à 2,74 en novembre 2011 ; la grosse récolte de 2012/13 (arabica mondial +9,4 %) le ramène à 1,69 en juin 2012.</w:t>
      </w:r>
    </w:p>
    <w:p>
      <w:pPr>
        <w:pStyle w:val="ListBullet"/>
        <w:numPr>
          <w:ilvl w:val="0"/>
          <w:numId w:val="1"/>
        </w:numPr>
      </w:pPr>
      <w:r>
        <w:t xml:space="preserve">2021-2022 : gel et sécheresse au Brésil, arabica mondial −16,0 % en 2021/22. Ratio jusqu'à 2,44 en février 2022.</w:t>
      </w:r>
    </w:p>
    <w:p>
      <w:pPr>
        <w:pStyle w:val="ListBullet"/>
        <w:numPr>
          <w:ilvl w:val="0"/>
          <w:numId w:val="1"/>
        </w:numPr>
      </w:pPr>
      <w:r>
        <w:t xml:space="preserve">2023-2024 : robusta rare (robusta mondial −6,0 % en 2023/24, après une petite récolte vietnamienne en 2022/23 ; Indonésie −2,6 M sacs) pendant que l'arabica remonte (+10,0 %). De janvier 2023 à septembre 2024, le DF est multiplié par 2,6 (1 892 → 4 963 $/t), le KC ne gagne que 59 %. Ratio au plus bas : 1,13 en septembre 2024.</w:t>
      </w:r>
    </w:p>
    <w:p>
      <w:pPr>
        <w:pStyle w:val="ListBullet"/>
        <w:numPr>
          <w:ilvl w:val="0"/>
          <w:numId w:val="1"/>
        </w:numPr>
      </w:pPr>
      <w:r>
        <w:t xml:space="preserve">2025-2026 : grosse récolte robusta (+12,4 % en 2025/26) et arabica en baisse (−8,0 %). Ratio revenu à 1,87 en août 2026.</w:t>
      </w:r>
    </w:p>
    <w:p>
      <w:pPr>
        <w:pStyle w:val="Figure"/>
        <w:keepNext/>
      </w:pPr>
      <w:r>
        <w:drawing>
          <wp:inline distT="0" distB="0" distL="0" distR="0">
            <wp:extent cx="5940000" cy="2499845"/>
            <wp:docPr id="14" name="Graphique 14"/>
            <wp:cNvGraphicFramePr>
              <a:graphicFrameLocks noChangeAspect="1"/>
            </wp:cNvGraphicFramePr>
            <a:graphic>
              <a:graphicData uri="http://schemas.openxmlformats.org/drawingml/2006/picture">
                <pic:pic>
                  <pic:nvPicPr>
                    <pic:cNvPr id="14" name="graphique14.png"/>
                    <pic:cNvPicPr/>
                  </pic:nvPicPr>
                  <pic:blipFill>
                    <a:blip r:embed="rIdImg14"/>
                    <a:stretch>
                      <a:fillRect/>
                    </a:stretch>
                  </pic:blipFill>
                  <pic:spPr>
                    <a:xfrm>
                      <a:off x="0" y="0"/>
                      <a:ext cx="5940000" cy="2499845"/>
                    </a:xfrm>
                    <a:prstGeom prst="rect">
                      <a:avLst/>
                    </a:prstGeom>
                  </pic:spPr>
                </pic:pic>
              </a:graphicData>
            </a:graphic>
          </wp:inline>
        </w:drawing>
      </w:r>
    </w:p>
    <w:p>
      <w:pPr>
        <w:pStyle w:val="Caption"/>
      </w:pPr>
      <w:r>
        <w:t xml:space="preserve">Graphique 14 — Variation de la production mondiale d'arabica et de robusta (USDA, %) et ratio KC/DF moyen de la campagne.</w:t>
      </w:r>
    </w:p>
    <w:p>
      <w:r>
        <w:t xml:space="preserve">Sur 15 campagnes, la variation du ratio va avec l'écart de croissance entre les deux récoltes (r = −0,51, p = 0,05, même campagne USDA ; −0,40 avec la récolte d'arabica de la campagne suivante) : un indice cohérent, pas une preuve.</w:t>
      </w:r>
    </w:p>
    <w:p>
      <w:pPr>
        <w:pStyle w:val="Heading2"/>
        <w:keepNext/>
      </w:pPr>
      <w:r>
        <w:t xml:space="preserve">Qui mène ?</w:t>
      </w:r>
    </w:p>
    <w:p>
      <w:r>
        <w:t xml:space="preserve">Personne, au pas mensuel : les deux bougent le même mois. Les petites corrélations décalées d'un mois (DF avant KC : 0,19 ; KC avant DF : 0,14) sont exactement ce que produit le calcul sur des moyennes mensuelles : deux prix parfaitement simultanés donnent environ 0,17 dans les deux sens (simulation de 400 paires de marches aléatoires journalières, moyennées par mois). Pour savoir qui bouge en premier dans la semaine, il faudrait des cours quotidiens.</w:t>
      </w:r>
    </w:p>
    <w:p>
      <w:pPr>
        <w:pStyle w:val="Heading2"/>
        <w:keepNext/>
      </w:pPr>
      <w:r>
        <w:t xml:space="preserve">Pour le trading</w:t>
      </w:r>
    </w:p>
    <w:p>
      <w:pPr>
        <w:pStyle w:val="ListBullet"/>
        <w:numPr>
          <w:ilvl w:val="0"/>
          <w:numId w:val="1"/>
        </w:numPr>
      </w:pPr>
      <w:r>
        <w:t xml:space="preserve">Suivre le ratio KC/DF, pas l'écart en c/lb : l'écart grossit avec le niveau des prix (146 c/lb en août 2026 contre 79 en moyenne), alors que le ratio est normal.</w:t>
      </w:r>
    </w:p>
    <w:p>
      <w:pPr>
        <w:pStyle w:val="ListBullet"/>
        <w:numPr>
          <w:ilvl w:val="0"/>
          <w:numId w:val="1"/>
        </w:numPr>
      </w:pPr>
      <w:r>
        <w:t xml:space="preserve">En août 2026, le ratio est à 1,87 : 64e centile, proche de sa moyenne (1,82). Rien d'extrême.</w:t>
      </w:r>
    </w:p>
    <w:p>
      <w:pPr>
        <w:pStyle w:val="ListBullet"/>
        <w:numPr>
          <w:ilvl w:val="0"/>
          <w:numId w:val="1"/>
        </w:numPr>
      </w:pPr>
      <w:r>
        <w:t xml:space="preserve">Le ratio revient vers sa moyenne, mais lentement (demi-vie d'environ 15 mois) et ce n'est pas démontré statistiquement (test ADF −2,39, seuil à 10 % −2,57 ; pas de cointégration démontrée entre ln KC et ln DF). Un écart peut durer un à deux ans si le choc d'offre dure (2011, 2021-2022, 2024). Ce n'est pas un arbitrage garanti.</w:t>
      </w:r>
    </w:p>
    <w:p>
      <w:r>
        <w:br w:type="page"/>
      </w:r>
    </w:p>
    <w:p>
      <w:pPr>
        <w:pStyle w:val="Heading1"/>
        <w:keepNext/>
      </w:pPr>
      <w:r>
        <w:t xml:space="preserve">9. Méthode et limites</w:t>
      </w:r>
    </w:p>
    <w:p>
      <w:pPr>
        <w:pStyle w:val="ListBullet"/>
        <w:numPr>
          <w:ilvl w:val="0"/>
          <w:numId w:val="1"/>
        </w:numPr>
      </w:pPr>
      <w:r>
        <w:t xml:space="preserve">Données : USDA PSD café (juillet 2026), 93 pays, milliers de sacs de 60 kg ; 2026/27 = prévision USDA. Prix : moyennes octobre-septembre ICE (proxy KC1 / DF1) publiées par l'ICO ; 2025/26 sur 11 mois. Section 8 : moyennes mensuelles ICO (2e position ICE et indicateurs physiques), septembre 2010-août 2026.</w:t>
      </w:r>
    </w:p>
    <w:p>
      <w:pPr>
        <w:pStyle w:val="ListBullet"/>
        <w:numPr>
          <w:ilvl w:val="0"/>
          <w:numId w:val="1"/>
        </w:numPr>
      </w:pPr>
      <w:r>
        <w:t xml:space="preserve">STU mondial = stocks de fin ÷ (consommation + exportations). Importateurs : stocks ÷ consommation. Producteurs = 42 pays exportateurs nets.</w:t>
      </w:r>
    </w:p>
    <w:p>
      <w:pPr>
        <w:pStyle w:val="ListBullet"/>
        <w:numPr>
          <w:ilvl w:val="0"/>
          <w:numId w:val="1"/>
        </w:numPr>
      </w:pPr>
      <w:r>
        <w:t xml:space="preserve">Décomposition (section 3) : identité exacte des stocks mondiaux ; chaque production, chaque consommation et l'écart des échanges sont séparés en une tendance et un écart ; on mesure la part de chaque écart dans la variance des variations annuelles du STU. Résultat stable avec une tendance log-linéaire ; intervalles par bootstrap. D'autres méthodes d'attribution donnent d'autres parts : seul le premier rang (arabica brésilien) est solide.</w:t>
      </w:r>
    </w:p>
    <w:p>
      <w:pPr>
        <w:pStyle w:val="ListBullet"/>
        <w:numPr>
          <w:ilvl w:val="0"/>
          <w:numId w:val="1"/>
        </w:numPr>
      </w:pPr>
      <w:r>
        <w:t xml:space="preserve">Corrélations de niveau : p corrigés de l'autocorrélation (n effectif) et validation croisée (une campagne retirée à la fois). 88 corrélations annuelles pays par pays testées : aucune ne résiste à une correction pour tests multiples (Benjamini-Hochberg à 10 %).</w:t>
      </w:r>
    </w:p>
    <w:p>
      <w:pPr>
        <w:pStyle w:val="ListBullet"/>
        <w:numPr>
          <w:ilvl w:val="0"/>
          <w:numId w:val="1"/>
        </w:numPr>
      </w:pPr>
      <w:r>
        <w:t xml:space="preserve">Crise et reprise (section 5) : simples différences de moyennes, sans modèle. Tendances et parts de l'offre robusta et arabica sur 2011/12-2025/26 (saut de niveau du Vietnam entre 2010/11 et 2011/12).</w:t>
      </w:r>
    </w:p>
    <w:p>
      <w:pPr>
        <w:pStyle w:val="ListBullet"/>
        <w:numPr>
          <w:ilvl w:val="0"/>
          <w:numId w:val="1"/>
        </w:numPr>
      </w:pPr>
      <w:r>
        <w:t xml:space="preserve">Pièges des données : la consommation de l'UE est apparente (miroir des stocks) et le périmètre passe de 28 à 27 pays en 2016/17 (Royaume-Uni regroupé avec l'UE ici) ; la consommation de l'Asie importatrice est apparente (Corée, Taïwan, Singapour ; saut des Philippines en 2015/16) ; les stocks américains sont figés à 5,7 M sacs depuis 2022/23 ; les stocks indonésiens font une bosse en 2017-2021 ; les exportations mondiales dépassent les importations de 0,8 à 12,8 M sacs selon l'année.</w:t>
      </w:r>
    </w:p>
    <w:p>
      <w:pPr>
        <w:pStyle w:val="ListBullet"/>
        <w:numPr>
          <w:ilvl w:val="0"/>
          <w:numId w:val="1"/>
        </w:numPr>
      </w:pPr>
      <w:r>
        <w:t xml:space="preserve">Chiffres révisés : l'étude utilise les données USDA de juillet 2026, révisées après coup. Le marché, lui, réagit aux prévisions du moment (USDA, CONAB, ICO). Une étude des révisions de prévisions, mois par mois, serait le test direct de « qui mène ».</w:t>
      </w:r>
    </w:p>
    <w:p>
      <w:pPr>
        <w:pStyle w:val="ListBullet"/>
        <w:numPr>
          <w:ilvl w:val="0"/>
          <w:numId w:val="1"/>
        </w:numPr>
      </w:pPr>
      <w:r>
        <w:t xml:space="preserve">Non testé faute de données : taux de change (real, dollar), positions des fonds, fret, taux d'intérêt, prix en réals pour le producteur brésilien, cours quotidiens.</w:t>
      </w:r>
    </w:p>
    <w:p>
      <w:pPr>
        <w:pStyle w:val="ListBullet"/>
        <w:numPr>
          <w:ilvl w:val="0"/>
          <w:numId w:val="1"/>
        </w:numPr>
      </w:pPr>
      <w:r>
        <w:t xml:space="preserve">16 campagnes et un seul cycle : les corrélations donnent des ordres de grandeur, pas des preuves. Ce rapport décrit ce qui fait le STU et ce qui va avec le prix ; il ne démontre pas de causalité.</w:t>
      </w:r>
    </w:p>
    <w:sectPr>
      <w:footerReference w:type="default" r:id="rIdFtr"/>
      <w:pgSz w:w="11906" w:h="16838"/>
      <w:pgMar w:top="1134" w:right="1021" w:bottom="1134" w:left="1021" w:header="567" w:footer="567" w:gutter="0"/>
      <w:cols w:space="708"/>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Pr>
    <w:r>
      <w:rPr>
        <w:color w:val="7F7F7F"/>
        <w:sz w:val="16"/>
      </w:rPr>
      <w:t xml:space="preserve">Qu'est-ce qui définit le prix du café ? · page </w:t>
    </w:r>
    <w:r>
      <w:rPr>
        <w:color w:val="7F7F7F"/>
        <w:sz w:val="16"/>
      </w:rPr>
      <w:fldChar w:fldCharType="begin"/>
    </w:r>
    <w:r>
      <w:rPr>
        <w:color w:val="7F7F7F"/>
        <w:sz w:val="16"/>
      </w:rPr>
      <w:instrText xml:space="preserve"> PAGE </w:instrText>
    </w:r>
    <w:r>
      <w:rPr>
        <w:color w:val="7F7F7F"/>
        <w:sz w:val="16"/>
      </w:rPr>
      <w:fldChar w:fldCharType="separate"/>
    </w:r>
    <w:r>
      <w:rPr>
        <w:color w:val="7F7F7F"/>
        <w:sz w:val="16"/>
      </w:rPr>
      <w:t>1</w:t>
    </w:r>
    <w:r>
      <w:rPr>
        <w:color w:val="7F7F7F"/>
        <w:sz w:val="16"/>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40"/>
      </w:pPr>
    </w:lvl>
  </w:abstractNum>
  <w:num w:numId="1">
    <w:abstractNumId w:val="0"/>
  </w:num>
</w:numbering>
</file>

<file path=word/styles.xml><?xml version="1.0" encoding="utf-8"?>
<w:styles xmlns:w="http://schemas.openxmlformats.org/wordprocessingml/2006/main">
  <w:docDefaults>
    <w:rPrDefault>
      <w:rPr>
        <w:rFonts w:ascii="Arial" w:hAnsi="Arial" w:eastAsia="Arial" w:cs="Arial"/>
        <w:sz w:val="20"/>
        <w:szCs w:val="20"/>
        <w:lang w:val="fr-FR"/>
      </w:rPr>
    </w:rPrDefault>
    <w:pPrDefault>
      <w:pPr>
        <w:spacing w:after="120" w:line="264" w:lineRule="auto"/>
      </w:pPr>
    </w:pPrDefault>
  </w:docDefaults>
  <w:style w:type="paragraph" w:styleId="Normal">
    <w:name w:val="Normal"/>
    <w:qFormat/>
  </w:style>
  <w:style w:type="paragraph" w:styleId="Title">
    <w:name w:val="Title"/>
    <w:basedOn w:val="Normal"/>
    <w:next w:val="Normal"/>
    <w:qFormat/>
    <w:pPr>
      <w:spacing w:after="60"/>
    </w:pPr>
    <w:rPr>
      <w:b/>
      <w:color w:val="1F3864"/>
      <w:sz w:val="40"/>
      <w:szCs w:val="40"/>
    </w:rPr>
  </w:style>
  <w:style w:type="paragraph" w:styleId="Subtitle">
    <w:name w:val="Subtitle"/>
    <w:basedOn w:val="Normal"/>
    <w:next w:val="Normal"/>
    <w:qFormat/>
    <w:pPr>
      <w:spacing w:after="240"/>
    </w:pPr>
    <w:rPr>
      <w:i/>
      <w:color w:val="595959"/>
      <w:sz w:val="20"/>
    </w:rPr>
  </w:style>
  <w:style w:type="paragraph" w:styleId="Heading1">
    <w:name w:val="heading 1"/>
    <w:basedOn w:val="Normal"/>
    <w:next w:val="Normal"/>
    <w:qFormat/>
    <w:pPr>
      <w:keepNext/>
      <w:spacing w:before="360" w:after="120"/>
      <w:outlineLvl w:val="0"/>
    </w:pPr>
    <w:rPr>
      <w:b/>
      <w:color w:val="1F3864"/>
      <w:sz w:val="30"/>
      <w:szCs w:val="30"/>
    </w:rPr>
  </w:style>
  <w:style w:type="paragraph" w:styleId="Heading2">
    <w:name w:val="heading 2"/>
    <w:basedOn w:val="Normal"/>
    <w:next w:val="Normal"/>
    <w:qFormat/>
    <w:pPr>
      <w:keepNext/>
      <w:spacing w:before="240" w:after="80"/>
      <w:outlineLvl w:val="1"/>
    </w:pPr>
    <w:rPr>
      <w:b/>
      <w:color w:val="2F5597"/>
      <w:sz w:val="24"/>
      <w:szCs w:val="24"/>
    </w:rPr>
  </w:style>
  <w:style w:type="paragraph" w:styleId="Caption">
    <w:name w:val="caption"/>
    <w:basedOn w:val="Normal"/>
    <w:next w:val="Normal"/>
    <w:qFormat/>
    <w:pPr>
      <w:spacing w:after="200"/>
    </w:pPr>
    <w:rPr>
      <w:i/>
      <w:color w:val="595959"/>
      <w:sz w:val="17"/>
    </w:rPr>
  </w:style>
  <w:style w:type="paragraph" w:styleId="Note">
    <w:name w:val="Note"/>
    <w:basedOn w:val="Normal"/>
    <w:next w:val="Normal"/>
    <w:qFormat/>
    <w:pPr>
      <w:spacing w:after="120"/>
    </w:pPr>
    <w:rPr>
      <w:color w:val="595959"/>
      <w:sz w:val="17"/>
    </w:rPr>
  </w:style>
  <w:style w:type="paragraph" w:styleId="Figure">
    <w:name w:val="Figure"/>
    <w:basedOn w:val="Normal"/>
    <w:next w:val="Normal"/>
    <w:qFormat/>
    <w:pPr>
      <w:spacing w:before="120" w:after="40"/>
      <w:jc w:val="center"/>
    </w:pPr>
  </w:style>
  <w:style w:type="paragraph" w:styleId="ListBullet">
    <w:name w:val="List Bullet"/>
    <w:basedOn w:val="Normal"/>
    <w:next w:val="ListBullet"/>
    <w:qFormat/>
    <w:pPr>
      <w:spacing w:after="60"/>
      <w:ind w:left="360" w:hanging="240"/>
    </w:pPr>
  </w:style>
  <w:style w:type="table" w:styleId="Grille">
    <w:name w:val="Grille"/>
    <w:tblPr>
      <w:tblCellMar>
        <w:left w:w="70" w:type="dxa"/>
        <w:right w:w="70" w:type="dxa"/>
      </w:tblCellMar>
    </w:tblPr>
  </w:style>
</w:styles>
</file>

<file path=word/_rels/document.xml.rels><?xml version="1.0" encoding="UTF-8" standalone="yes"?>
<Relationships xmlns="http://schemas.openxmlformats.org/package/2006/relationships"><Relationship Id="rIdSty" Type="http://schemas.openxmlformats.org/officeDocument/2006/relationships/styles" Target="styles.xml"/><Relationship Id="rIdNum" Type="http://schemas.openxmlformats.org/officeDocument/2006/relationships/numbering" Target="numbering.xml"/><Relationship Id="rIdFt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Qu'est-ce qui définit le prix du café ?</dc:title>
  <dc:creator>Claude</dc:creator>
  <dcterms:created xsi:type="dcterms:W3CDTF">2026-10-01T19:03:26Z</dcterms:created>
  <dcterms:modified xsi:type="dcterms:W3CDTF">2026-10-01T19:03:26Z</dcterms:modified>
</cp:coreProperties>
</file>