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Pérou : balance sheet café, de la météo au rendement et à la production</w:t>
      </w:r>
    </w:p>
    <w:p>
      <w:r>
        <w:rPr>
          <w:b w:val="0"/>
          <w:i/>
          <w:color w:val="52514E"/>
          <w:sz w:val="18"/>
        </w:rPr>
        <w:t>Au 16 septembre 2026. Source des chiffres : balance sheet (onglet Peru), USDA. Classification ENSO : NOAA CPC episode list reproduced from memory (peak ONI approximate); drop the CPC table in data/oni.csv to replace it.</w:t>
      </w:r>
    </w:p>
    <w:p>
      <w:r>
        <w:rPr>
          <w:b/>
          <w:i w:val="0"/>
          <w:color w:val="B00020"/>
          <w:sz w:val="18"/>
        </w:rPr>
        <w:t>ATTENTION : l'onglet Pérou de la balance sheet est une copie exacte de l'onglet Honduras. Aucun chiffre n'a été utilisé ; les sections chiffrées attendent les données péruviennes (USDA PSD : production ≈ 4 M de sacs, ordres de grandeur à confirmer). Roya 2013 : la production avait chuté d'environ un tiers.</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L'El Niño en cours (attendu jusqu'à mars 2027) pilote donc la récolte 2027 (campagne 2027/28).</w:t>
      </w:r>
    </w:p>
    <w:p>
      <w:pPr>
        <w:pStyle w:val="ListBullet"/>
      </w:pPr>
      <w:r>
        <w:rPr>
          <w:sz w:val="20"/>
        </w:rPr>
        <w:t>Les chiffres de cet onglet sont ceux du Honduras : la quantification attend les vraies données.</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761824"/>
            <wp:docPr id="1" name="Picture 1"/>
            <wp:cNvGraphicFramePr>
              <a:graphicFrameLocks noChangeAspect="1"/>
            </wp:cNvGraphicFramePr>
            <a:graphic>
              <a:graphicData uri="http://schemas.openxmlformats.org/drawingml/2006/picture">
                <pic:pic>
                  <pic:nvPicPr>
                    <pic:cNvPr id="0" name="peru_chain.png"/>
                    <pic:cNvPicPr/>
                  </pic:nvPicPr>
                  <pic:blipFill>
                    <a:blip r:embed="rId9"/>
                    <a:stretch>
                      <a:fillRect/>
                    </a:stretch>
                  </pic:blipFill>
                  <pic:spPr>
                    <a:xfrm>
                      <a:off x="0" y="0"/>
                      <a:ext cx="5760000" cy="2761824"/>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arabica (100 %), petits producteurs, forte part certifiée. Campagne USDA : avril-mars (USDA) ; la balance sheet utilise octobre. Régions : Junín (Chanchamayo, Satipo), Cajamarca (Jaén, San Ignacio), San Martín, Amazonas, Cusco (La Convención) ; versant amazonien des Andes, 1 000-1 800 m.</w:t>
      </w:r>
    </w:p>
    <w:p>
      <w:pPr>
        <w:jc w:val="center"/>
      </w:pPr>
      <w:r>
        <w:drawing>
          <wp:inline xmlns:a="http://schemas.openxmlformats.org/drawingml/2006/main" xmlns:pic="http://schemas.openxmlformats.org/drawingml/2006/picture">
            <wp:extent cx="5760000" cy="1954769"/>
            <wp:docPr id="2" name="Picture 2"/>
            <wp:cNvGraphicFramePr>
              <a:graphicFrameLocks noChangeAspect="1"/>
            </wp:cNvGraphicFramePr>
            <a:graphic>
              <a:graphicData uri="http://schemas.openxmlformats.org/drawingml/2006/picture">
                <pic:pic>
                  <pic:nvPicPr>
                    <pic:cNvPr id="0" name="peru_calendar.png"/>
                    <pic:cNvPicPr/>
                  </pic:nvPicPr>
                  <pic:blipFill>
                    <a:blip r:embed="rId10"/>
                    <a:stretch>
                      <a:fillRect/>
                    </a:stretch>
                  </pic:blipFill>
                  <pic:spPr>
                    <a:xfrm>
                      <a:off x="0" y="0"/>
                      <a:ext cx="5760000" cy="1954769"/>
                    </a:xfrm>
                    <a:prstGeom prst="rect"/>
                  </pic:spPr>
                </pic:pic>
              </a:graphicData>
            </a:graphic>
          </wp:inline>
        </w:drawing>
      </w:r>
    </w:p>
    <w:p>
      <w:r>
        <w:rPr>
          <w:b w:val="0"/>
          <w:i/>
          <w:color w:val="52514E"/>
          <w:sz w:val="16"/>
        </w:rPr>
        <w:t>Figure 2. Phases de la culture par mois (année civile).</w:t>
      </w:r>
    </w:p>
    <w:p>
      <w:r>
        <w:rPr>
          <w:b w:val="0"/>
          <w:i w:val="0"/>
          <w:sz w:val="20"/>
        </w:rPr>
        <w:t>La campagne Y/Y+1 (récolte avril-sept. de Y) dépend des pluies d'oct. Y-1 à avril Y : l'épisode qui culmine en déc.-fév. Y-1/Y la pilote. L'El Niño en cours pilote donc la récolte 2027 (campagne 2027/28).</w:t>
      </w:r>
    </w:p>
    <w:p>
      <w:pPr>
        <w:pStyle w:val="Heading1"/>
      </w:pPr>
      <w:r>
        <w:t>4. Ce que dit la balance sheet</w:t>
      </w:r>
    </w:p>
    <w:p>
      <w:r>
        <w:rPr>
          <w:b w:val="0"/>
          <w:i w:val="0"/>
          <w:sz w:val="20"/>
        </w:rPr>
        <w:t>Pas de données propres à cette origine dans la balance sheet (onglet copié du Honduras). À remplir : production par espèce, surface totale / bearing / non-bearing, stock d'arbres, rendement, par campagne depuis 1998/99 (USDA PSD, et les sources nationales : ECX/ECTA pour l'Éthiopie, JNC/MIDAGRI pour le Pérou).</w:t>
      </w:r>
    </w:p>
    <w:p>
      <w:pPr>
        <w:pStyle w:val="Heading1"/>
      </w:pPr>
      <w:r>
        <w:t>5. Les déterminants du rendement, quantifiés</w:t>
      </w:r>
    </w:p>
    <w:p>
      <w:r>
        <w:rPr>
          <w:b w:val="0"/>
          <w:i w:val="0"/>
          <w:sz w:val="20"/>
        </w:rPr>
        <w:t>Sans données, les déterminants sont qualitatifs : pluies oct.-avril (floraison, remplissage), sécheresse andine, excès de pluie au nord (roya), routes coupées.</w:t>
      </w:r>
    </w:p>
    <w:p>
      <w:pPr>
        <w:pStyle w:val="Heading1"/>
      </w:pPr>
      <w:r>
        <w:t>6. El Niño / La Niña : ce que l'histoire montre pour cette origine</w:t>
      </w:r>
    </w:p>
    <w:p>
      <w:r>
        <w:rPr>
          <w:b w:val="0"/>
          <w:i w:val="0"/>
          <w:sz w:val="20"/>
        </w:rPr>
        <w:t>Climatologie établie : El Niño apporte des pluies extrêmes sur la côte nord du Pérou (Piura, Lambayeque ; 1997-98, 2017 « El Niño costero », 2023) et tend à réduire les pluies et à réchauffer les Andes centrales et du sud ; La Niña fait l'inverse. Les zones caféières sont sur le versant amazonien : au nord (Cajamarca, Amazonas, San Martín) El Niño se traduit par plus d'humidité, de roya et de routes coupées ; au centre-sud (Junín, Cusco) plutôt par un déficit de pluie à la floraison. L'effet net sur le rendement national est ambigu et doit être mesuré sur des données péruviennes.</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r>
        <w:rPr>
          <w:b/>
          <w:i w:val="0"/>
          <w:sz w:val="20"/>
        </w:rPr>
        <w:t>Implication pour l'El Niño en cours (jusqu'à mars 2027) :</w:t>
      </w:r>
    </w:p>
    <w:p>
      <w:r>
        <w:rPr>
          <w:b w:val="0"/>
          <w:i w:val="0"/>
          <w:sz w:val="20"/>
        </w:rPr>
        <w:t>Campagne pilotée : 2027/28. Direction attendue d'après la climatologie ci-dessus ; la quantification attend les données.</w:t>
      </w:r>
    </w:p>
    <w:p>
      <w:pPr>
        <w:pStyle w:val="Heading1"/>
      </w:pPr>
      <w:r>
        <w:t>7. Prévision</w:t>
      </w:r>
    </w:p>
    <w:p>
      <w:r>
        <w:rPr>
          <w:b w:val="0"/>
          <w:i w:val="0"/>
          <w:sz w:val="20"/>
        </w:rPr>
        <w:t>Pas de prévision possible sans données propres à l'origine.</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Peru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