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official ONI/RONI table /home/user/procafe/timeseries/data/oni.csv.</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3 975 à 5 800 (+2.6 % par an) : surface bearing +1.8 % par an, rendement +0.8 % par an. La surface fait la croissance.</w:t>
      </w:r>
    </w:p>
    <w:p>
      <w:pPr>
        <w:pStyle w:val="ListBullet"/>
      </w:pPr>
      <w:r>
        <w:rPr>
          <w:sz w:val="20"/>
        </w:rPr>
        <w:t>El Niño : rendement en moyenne -2.8 % par rapport aux campagnes voisines sur 8 campagnes (62 % d'entre elles sous la moyenne) ; El Niño fort : -2.6 % (5 campagnes, 60 % sous la moyenne). La Niña : +3.5 % (12 campagnes).</w:t>
      </w:r>
    </w:p>
    <w:p>
      <w:pPr>
        <w:pStyle w:val="ListBullet"/>
      </w:pPr>
      <w:r>
        <w:rPr>
          <w:sz w:val="20"/>
        </w:rPr>
        <w:t>L'El Niño en cours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+1.8 %/an + rendement +0.8 %/an (rendement implicite 16.7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928"/>
          </w:tcPr>
          <w:p>
            <w:r/>
            <w:r>
              <w:rPr>
                <w:sz w:val="16"/>
              </w:rPr>
              <w:t>La Niña 2019/20 (-0.7)</w:t>
            </w:r>
          </w:p>
        </w:tc>
        <w:tc>
          <w:tcPr>
            <w:tcW w:type="dxa" w:w="4082"/>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928"/>
          </w:tcPr>
          <w:p>
            <w:r/>
            <w:r>
              <w:rPr>
                <w:sz w:val="16"/>
              </w:rPr>
              <w:t>neutre 2012/13 (-0.6)</w:t>
            </w:r>
          </w:p>
        </w:tc>
        <w:tc>
          <w:tcPr>
            <w:tcW w:type="dxa" w:w="4082"/>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928"/>
          </w:tcPr>
          <w:p>
            <w:r/>
            <w:r>
              <w:rPr>
                <w:sz w:val="16"/>
              </w:rPr>
              <w:t>neutre 2001/02 (-0.3)</w:t>
            </w:r>
          </w:p>
        </w:tc>
        <w:tc>
          <w:tcPr>
            <w:tcW w:type="dxa" w:w="4082"/>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928"/>
          </w:tcPr>
          <w:p>
            <w:r/>
            <w:r>
              <w:rPr>
                <w:sz w:val="16"/>
              </w:rPr>
              <w:t>La Niña 2021/22 (-1.3)</w:t>
            </w:r>
          </w:p>
        </w:tc>
        <w:tc>
          <w:tcPr>
            <w:tcW w:type="dxa" w:w="4082"/>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928"/>
          </w:tcPr>
          <w:p>
            <w:r/>
            <w:r>
              <w:rPr>
                <w:sz w:val="16"/>
              </w:rPr>
              <w:t>La Niña 2011/12 (-1.0)</w:t>
            </w:r>
          </w:p>
        </w:tc>
        <w:tc>
          <w:tcPr>
            <w:tcW w:type="dxa" w:w="4082"/>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928"/>
          </w:tcPr>
          <w:p>
            <w:r/>
            <w:r>
              <w:rPr>
                <w:sz w:val="16"/>
              </w:rPr>
              <w:t>La Niña 2020/21 (-1.5)</w:t>
            </w:r>
          </w:p>
        </w:tc>
        <w:tc>
          <w:tcPr>
            <w:tcW w:type="dxa" w:w="4082"/>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928"/>
          </w:tcPr>
          <w:p>
            <w:r/>
            <w:r>
              <w:rPr>
                <w:sz w:val="16"/>
              </w:rPr>
              <w:t>La Niña 2005/06 (-0.9)</w:t>
            </w:r>
          </w:p>
        </w:tc>
        <w:tc>
          <w:tcPr>
            <w:tcW w:type="dxa" w:w="4082"/>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5</w:t>
            </w:r>
          </w:p>
        </w:tc>
        <w:tc>
          <w:tcPr>
            <w:tcW w:type="dxa" w:w="1361"/>
          </w:tcPr>
          <w:p>
            <w:r/>
            <w:r>
              <w:rPr>
                <w:sz w:val="15"/>
              </w:rPr>
              <w:t>-2.6 %</w:t>
            </w:r>
          </w:p>
        </w:tc>
        <w:tc>
          <w:tcPr>
            <w:tcW w:type="dxa" w:w="1134"/>
          </w:tcPr>
          <w:p>
            <w:r/>
            <w:r>
              <w:rPr>
                <w:sz w:val="15"/>
              </w:rPr>
              <w:t>60 %</w:t>
            </w:r>
          </w:p>
        </w:tc>
        <w:tc>
          <w:tcPr>
            <w:tcW w:type="dxa" w:w="1361"/>
          </w:tcPr>
          <w:p>
            <w:r/>
            <w:r>
              <w:rPr>
                <w:sz w:val="15"/>
              </w:rPr>
              <w:t>-8.7 %</w:t>
            </w:r>
          </w:p>
        </w:tc>
        <w:tc>
          <w:tcPr>
            <w:tcW w:type="dxa" w:w="3402"/>
          </w:tcPr>
          <w:p>
            <w:r/>
            <w:r>
              <w:rPr>
                <w:sz w:val="15"/>
              </w:rPr>
              <w:t>2002/03 2009/10 2014/15 2015/16 2023/24</w:t>
            </w:r>
          </w:p>
        </w:tc>
      </w:tr>
      <w:tr>
        <w:tc>
          <w:tcPr>
            <w:tcW w:type="dxa" w:w="1814"/>
          </w:tcPr>
          <w:p>
            <w:r/>
            <w:r>
              <w:rPr>
                <w:sz w:val="15"/>
              </w:rPr>
              <w:t>El Niño</w:t>
            </w:r>
          </w:p>
        </w:tc>
        <w:tc>
          <w:tcPr>
            <w:tcW w:type="dxa" w:w="567"/>
          </w:tcPr>
          <w:p>
            <w:r/>
            <w:r>
              <w:rPr>
                <w:sz w:val="15"/>
              </w:rPr>
              <w:t>8</w:t>
            </w:r>
          </w:p>
        </w:tc>
        <w:tc>
          <w:tcPr>
            <w:tcW w:type="dxa" w:w="1361"/>
          </w:tcPr>
          <w:p>
            <w:r/>
            <w:r>
              <w:rPr>
                <w:sz w:val="15"/>
              </w:rPr>
              <w:t>-2.8 %</w:t>
            </w:r>
          </w:p>
        </w:tc>
        <w:tc>
          <w:tcPr>
            <w:tcW w:type="dxa" w:w="1134"/>
          </w:tcPr>
          <w:p>
            <w:r/>
            <w:r>
              <w:rPr>
                <w:sz w:val="15"/>
              </w:rPr>
              <w:t>62 %</w:t>
            </w:r>
          </w:p>
        </w:tc>
        <w:tc>
          <w:tcPr>
            <w:tcW w:type="dxa" w:w="1361"/>
          </w:tcPr>
          <w:p>
            <w:r/>
            <w:r>
              <w:rPr>
                <w:sz w:val="15"/>
              </w:rPr>
              <w:t>-5.5 %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4</w:t>
            </w:r>
          </w:p>
        </w:tc>
        <w:tc>
          <w:tcPr>
            <w:tcW w:type="dxa" w:w="1361"/>
          </w:tcPr>
          <w:p>
            <w:r/>
            <w:r>
              <w:rPr>
                <w:sz w:val="15"/>
              </w:rPr>
              <w:t>-6.5 %</w:t>
            </w:r>
          </w:p>
        </w:tc>
        <w:tc>
          <w:tcPr>
            <w:tcW w:type="dxa" w:w="1134"/>
          </w:tcPr>
          <w:p>
            <w:r/>
            <w:r>
              <w:rPr>
                <w:sz w:val="15"/>
              </w:rPr>
              <w:t>75 %</w:t>
            </w:r>
          </w:p>
        </w:tc>
        <w:tc>
          <w:tcPr>
            <w:tcW w:type="dxa" w:w="1361"/>
          </w:tcPr>
          <w:p>
            <w:r/>
            <w:r>
              <w:rPr>
                <w:sz w:val="15"/>
              </w:rPr>
              <w:t>-5.1 %</w:t>
            </w:r>
          </w:p>
        </w:tc>
        <w:tc>
          <w:tcPr>
            <w:tcW w:type="dxa" w:w="3402"/>
          </w:tcPr>
          <w:p>
            <w:r/>
            <w:r>
              <w:rPr>
                <w:sz w:val="15"/>
              </w:rPr>
              <w:t>2001/02 2003/04 2012/13 2013/14</w:t>
            </w:r>
          </w:p>
        </w:tc>
      </w:tr>
      <w:tr>
        <w:tc>
          <w:tcPr>
            <w:tcW w:type="dxa" w:w="1814"/>
          </w:tcPr>
          <w:p>
            <w:r/>
            <w:r>
              <w:rPr>
                <w:sz w:val="15"/>
              </w:rPr>
              <w:t>La Niña</w:t>
            </w:r>
          </w:p>
        </w:tc>
        <w:tc>
          <w:tcPr>
            <w:tcW w:type="dxa" w:w="567"/>
          </w:tcPr>
          <w:p>
            <w:r/>
            <w:r>
              <w:rPr>
                <w:sz w:val="15"/>
              </w:rPr>
              <w:t>12</w:t>
            </w:r>
          </w:p>
        </w:tc>
        <w:tc>
          <w:tcPr>
            <w:tcW w:type="dxa" w:w="1361"/>
          </w:tcPr>
          <w:p>
            <w:r/>
            <w:r>
              <w:rPr>
                <w:sz w:val="15"/>
              </w:rPr>
              <w:t>+3.5 %</w:t>
            </w:r>
          </w:p>
        </w:tc>
        <w:tc>
          <w:tcPr>
            <w:tcW w:type="dxa" w:w="1134"/>
          </w:tcPr>
          <w:p>
            <w:r/>
            <w:r>
              <w:rPr>
                <w:sz w:val="15"/>
              </w:rPr>
              <w:t>50 %</w:t>
            </w:r>
          </w:p>
        </w:tc>
        <w:tc>
          <w:tcPr>
            <w:tcW w:type="dxa" w:w="1361"/>
          </w:tcPr>
          <w:p>
            <w:r/>
            <w:r>
              <w:rPr>
                <w:sz w:val="15"/>
              </w:rPr>
              <w:t>+4.1 %</w:t>
            </w:r>
          </w:p>
        </w:tc>
        <w:tc>
          <w:tcPr>
            <w:tcW w:type="dxa" w:w="3402"/>
          </w:tcPr>
          <w:p>
            <w:r/>
            <w:r>
              <w:rPr>
                <w:sz w:val="15"/>
              </w:rPr>
              <w:t>2005/06 2007/08 2008/09 2010/11 2011/12 2016/17 2017/18 2019/20 2020/21 2021/22 2022/23 2024/25</w:t>
            </w:r>
          </w:p>
        </w:tc>
      </w:tr>
      <w:tr>
        <w:tc>
          <w:tcPr>
            <w:tcW w:type="dxa" w:w="1814"/>
          </w:tcPr>
          <w:p>
            <w:r/>
            <w:r>
              <w:rPr>
                <w:sz w:val="15"/>
              </w:rPr>
              <w:t>La Niña forte (|ONI| ≥ 1)</w:t>
            </w:r>
          </w:p>
        </w:tc>
        <w:tc>
          <w:tcPr>
            <w:tcW w:type="dxa" w:w="567"/>
          </w:tcPr>
          <w:p>
            <w:r/>
            <w:r>
              <w:rPr>
                <w:sz w:val="15"/>
              </w:rPr>
              <w:t>10</w:t>
            </w:r>
          </w:p>
        </w:tc>
        <w:tc>
          <w:tcPr>
            <w:tcW w:type="dxa" w:w="1361"/>
          </w:tcPr>
          <w:p>
            <w:r/>
            <w:r>
              <w:rPr>
                <w:sz w:val="15"/>
              </w:rPr>
              <w:t>+4.2 %</w:t>
            </w:r>
          </w:p>
        </w:tc>
        <w:tc>
          <w:tcPr>
            <w:tcW w:type="dxa" w:w="1134"/>
          </w:tcPr>
          <w:p>
            <w:r/>
            <w:r>
              <w:rPr>
                <w:sz w:val="15"/>
              </w:rPr>
              <w:t>50 %</w:t>
            </w:r>
          </w:p>
        </w:tc>
        <w:tc>
          <w:tcPr>
            <w:tcW w:type="dxa" w:w="1361"/>
          </w:tcPr>
          <w:p>
            <w:r/>
            <w:r>
              <w:rPr>
                <w:sz w:val="15"/>
              </w:rPr>
              <w:t>+6.7 %</w:t>
            </w:r>
          </w:p>
        </w:tc>
        <w:tc>
          <w:tcPr>
            <w:tcW w:type="dxa" w:w="3402"/>
          </w:tcPr>
          <w:p>
            <w:r/>
            <w:r>
              <w:rPr>
                <w:sz w:val="15"/>
              </w:rPr>
              <w:t>2007/08 2008/09 2010/11 2011/12 2016/17 2017/18 2020/21 2021/22 2022/23 2024/25</w:t>
            </w:r>
          </w:p>
        </w:tc>
      </w:tr>
    </w:tbl>
    <w:p/>
    <w:p>
      <w:r>
        <w:rPr>
          <w:b w:val="0"/>
          <w:i w:val="0"/>
          <w:sz w:val="20"/>
        </w:rPr>
        <w:t>Lecture : pour Honduras, El Niño est historiquement négatif pour le rendement (-2.8 %) et La Niña positif (+3.5 %).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(-8.7 %) : 5 507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