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Éthiopie : balance sheet café, de la météo au rendement et à la production</w:t>
      </w:r>
    </w:p>
    <w:p>
      <w:r>
        <w:rPr>
          <w:b w:val="0"/>
          <w:i/>
          <w:color w:val="52514E"/>
          <w:sz w:val="18"/>
        </w:rPr>
        <w:t>Au 16 septembre 2026. Source des chiffres : balance sheet (onglet Ethiopia), USDA. Classification ENSO : official ONI/RONI table /home/user/procafe/timeseries/data/oni.csv.</w:t>
      </w:r>
    </w:p>
    <w:p>
      <w:r>
        <w:rPr>
          <w:b/>
          <w:i w:val="0"/>
          <w:color w:val="B00020"/>
          <w:sz w:val="18"/>
        </w:rPr>
        <w:t>ATTENTION : l'onglet Éthiopie de la balance sheet est une copie exacte de l'onglet Honduras. Aucun chiffre n'a été utilisé ; les sections chiffrées attendent les données éthiopiennes (USDA PSD : production ≈ 8 M de sacs, surface ≈ 0,5 M ha, ordres de grandeur à confirmer).</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L'El Niño en cours pilote donc la campagne 2026/27.</w:t>
      </w:r>
    </w:p>
    <w:p>
      <w:pPr>
        <w:pStyle w:val="ListBullet"/>
      </w:pPr>
      <w:r>
        <w:rPr>
          <w:sz w:val="20"/>
        </w:rPr>
        <w:t>Les chiffres de cet onglet sont ceux du Honduras : la quantification attend les vraies données.</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70943"/>
            <wp:docPr id="1" name="Picture 1"/>
            <wp:cNvGraphicFramePr>
              <a:graphicFrameLocks noChangeAspect="1"/>
            </wp:cNvGraphicFramePr>
            <a:graphic>
              <a:graphicData uri="http://schemas.openxmlformats.org/drawingml/2006/picture">
                <pic:pic>
                  <pic:nvPicPr>
                    <pic:cNvPr id="0" name="ethiopia_chain.png"/>
                    <pic:cNvPicPr/>
                  </pic:nvPicPr>
                  <pic:blipFill>
                    <a:blip r:embed="rId9"/>
                    <a:stretch>
                      <a:fillRect/>
                    </a:stretch>
                  </pic:blipFill>
                  <pic:spPr>
                    <a:xfrm>
                      <a:off x="0" y="0"/>
                      <a:ext cx="5760000" cy="287094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(100 %), forêt, semi-forêt, jardins et plantations. Campagne USDA : octobre-septembre. Régions : Sidama, Guji, Yirgacheffe (Sud) ; Jimma, Limu, Kaffa (Sud-Ouest) ; Harrar (Est) ; 1 500-2 200 m.</w:t>
      </w:r>
    </w:p>
    <w:p>
      <w:pPr>
        <w:jc w:val="center"/>
      </w:pPr>
      <w:r>
        <w:drawing>
          <wp:inline xmlns:a="http://schemas.openxmlformats.org/drawingml/2006/main" xmlns:pic="http://schemas.openxmlformats.org/drawingml/2006/picture">
            <wp:extent cx="5760000" cy="2167243"/>
            <wp:docPr id="2" name="Picture 2"/>
            <wp:cNvGraphicFramePr>
              <a:graphicFrameLocks noChangeAspect="1"/>
            </wp:cNvGraphicFramePr>
            <a:graphic>
              <a:graphicData uri="http://schemas.openxmlformats.org/drawingml/2006/picture">
                <pic:pic>
                  <pic:nvPicPr>
                    <pic:cNvPr id="0" name="ethiopia_calendar.png"/>
                    <pic:cNvPicPr/>
                  </pic:nvPicPr>
                  <pic:blipFill>
                    <a:blip r:embed="rId10"/>
                    <a:stretch>
                      <a:fillRect/>
                    </a:stretch>
                  </pic:blipFill>
                  <pic:spPr>
                    <a:xfrm>
                      <a:off x="0" y="0"/>
                      <a:ext cx="5760000" cy="2167243"/>
                    </a:xfrm>
                    <a:prstGeom prst="rect"/>
                  </pic:spPr>
                </pic:pic>
              </a:graphicData>
            </a:graphic>
          </wp:inline>
        </w:drawing>
      </w:r>
    </w:p>
    <w:p>
      <w:r>
        <w:rPr>
          <w:b w:val="0"/>
          <w:i/>
          <w:color w:val="52514E"/>
          <w:sz w:val="16"/>
        </w:rPr>
        <w:t>Figure 2. Phases de la culture par mois (année civile).</w:t>
      </w:r>
    </w:p>
    <w:p>
      <w:r>
        <w:rPr>
          <w:b w:val="0"/>
          <w:i w:val="0"/>
          <w:sz w:val="20"/>
        </w:rPr>
        <w:t>La campagne Y/Y+1 (récolte oct. Y - janv. Y+1) dépend des pluies de belg et de kiremt de l'année Y : l'épisode qui se développe en Y la pilote. L'El Niño en cours pilote donc la campagne 2026/27.</w:t>
      </w:r>
    </w:p>
    <w:p>
      <w:pPr>
        <w:pStyle w:val="Heading1"/>
      </w:pPr>
      <w:r>
        <w:t>4. Ce que dit la balance sheet</w:t>
      </w:r>
    </w:p>
    <w:p>
      <w:r>
        <w:rPr>
          <w:b w:val="0"/>
          <w:i w:val="0"/>
          <w:sz w:val="20"/>
        </w:rPr>
        <w:t>Pas de données propres à cette origine dans la balance sheet (onglet copié du Honduras). À remplir : production par espèce, surface totale / bearing / non-bearing, stock d'arbres, rendement, par campagne depuis 1998/99 (USDA PSD, et les sources nationales : ECX/ECTA pour l'Éthiopie, JNC/MIDAGRI pour le Pérou).</w:t>
      </w:r>
    </w:p>
    <w:p>
      <w:pPr>
        <w:pStyle w:val="Heading1"/>
      </w:pPr>
      <w:r>
        <w:t>5. Les déterminants du rendement, quantifiés</w:t>
      </w:r>
    </w:p>
    <w:p>
      <w:r>
        <w:rPr>
          <w:b w:val="0"/>
          <w:i w:val="0"/>
          <w:sz w:val="20"/>
        </w:rPr>
        <w:t>Sans données, les déterminants sont qualitatifs : pluies de belg (floraison), kiremt (remplissage), sécheresse, pluies hors saison à la récolte.</w:t>
      </w:r>
    </w:p>
    <w:p>
      <w:pPr>
        <w:pStyle w:val="Heading1"/>
      </w:pPr>
      <w:r>
        <w:t>6. El Niño / La Niña : ce que l'histoire montre pour cette origine</w:t>
      </w:r>
    </w:p>
    <w:p>
      <w:r>
        <w:rPr>
          <w:b w:val="0"/>
          <w:i w:val="0"/>
          <w:sz w:val="20"/>
        </w:rPr>
        <w:t>Climatologie établie : El Niño affaiblit les grandes pluies de kiremt (juin-sept.) dans le nord et le centre de l'Éthiopie (sécheresse de 2015, la pire depuis 30 ans) et renforce les pluies d'oct.-déc. dans le sud ; La Niña assèche le sud et le sud-est (Corne de l'Afrique 2010-11, 2016-17, 2020-23). Les zones caféières du sud et du sud-ouest sont moins touchées que les hauts plateaux du nord : l'effet El Niño sur le café est modéré (belg et kiremt affaiblis = remplissage moins bon), l'effet La Niña négatif dans le sud (Sidama, Guji).</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i w:val="0"/>
          <w:sz w:val="20"/>
        </w:rPr>
        <w:t>Implication pour l'El Niño en cours (jusqu'à mars 2027) :</w:t>
      </w:r>
    </w:p>
    <w:p>
      <w:r>
        <w:rPr>
          <w:b w:val="0"/>
          <w:i w:val="0"/>
          <w:sz w:val="20"/>
        </w:rPr>
        <w:t>Campagne pilotée : 2026/27. Direction attendue d'après la climatologie ci-dessus ; la quantification attend les données.</w:t>
      </w:r>
    </w:p>
    <w:p>
      <w:pPr>
        <w:pStyle w:val="Heading1"/>
      </w:pPr>
      <w:r>
        <w:t>7. Prévision</w:t>
      </w:r>
    </w:p>
    <w:p>
      <w:r>
        <w:rPr>
          <w:b w:val="0"/>
          <w:i w:val="0"/>
          <w:sz w:val="20"/>
        </w:rPr>
        <w:t>Pas de prévision possible sans données propres à l'origine.</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Ethiopia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