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(ONI ≥ 1,5 : épisodes 2009/10, 2015/16, 2023/24, campagnes suivantes 2010/11, 2016/17, 2024/25) : Minas Gerais -228 mm et +1.1 °C, Espírito Santo -298 mm et +1.1 °C. Robusta -15.3 % par rapport à l'attendu, arabica +0.4 % (années ON, qui tiennent grâce au cycle), total -4.0 %.</w:t>
      </w:r>
    </w:p>
    <w:p>
      <w:pPr>
        <w:pStyle w:val="ListBullet"/>
      </w:pPr>
      <w:r>
        <w:rPr>
          <w:sz w:val="20"/>
        </w:rPr>
        <w:t>El Niño ordinaire (ONI entre 0,5 et 1,5 : 2002/03, 2004/05, 2006/07, 2018/19) : arabica -4.7 %, robusta -1.3 %, total -3.8 % ; Minas Gerais +105 mm, Espírito Santo +85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Deux niveaux seulement : El Niño fort quand le pic ONI atteint +1,5 (2009/10, 2015/16, 2023/24), El Niño sinon ; La Niña forte sous −1,5, La Niña sinon.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(ONI 0.5-1.5)</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(ONI 0.5-1.5)</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(ONI -0.5 a -1.5)</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(ONI 0.5-1.5)</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 (ONI &lt;= -1.5)</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(ONI -0.5 a -1.5)</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 (ONI &gt;= 1.5)</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 (ONI &lt;= -1.5)</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(ONI -0.5 a -1.5)</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 (ONI &gt;= 1.5)</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(ONI -0.5 a -1.5)</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(ONI -0.5 a -1.5)</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(ONI 0.5-1.5)</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(ONI -0.5 a -1.5)</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(ONI -0.5 a -1.5)</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(ONI -0.5 a -1.5)</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fort (ONI &gt;= 1.5)</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 (ONI &gt;= 1.5)</w:t>
            </w:r>
          </w:p>
        </w:tc>
        <w:tc>
          <w:tcPr>
            <w:tcW w:type="dxa" w:w="454"/>
          </w:tcPr>
          <w:p>
            <w:r/>
            <w:r>
              <w:rPr>
                <w:sz w:val="14"/>
              </w:rPr>
              <w:t>3</w:t>
            </w:r>
          </w:p>
        </w:tc>
        <w:tc>
          <w:tcPr>
            <w:tcW w:type="dxa" w:w="850"/>
          </w:tcPr>
          <w:p>
            <w:r/>
            <w:r>
              <w:rPr>
                <w:sz w:val="14"/>
              </w:rPr>
              <w:t>+0.4 %</w:t>
            </w:r>
          </w:p>
        </w:tc>
        <w:tc>
          <w:tcPr>
            <w:tcW w:type="dxa" w:w="850"/>
          </w:tcPr>
          <w:p>
            <w:r/>
            <w:r>
              <w:rPr>
                <w:sz w:val="14"/>
              </w:rPr>
              <w:t>-15.3 %</w:t>
            </w:r>
          </w:p>
        </w:tc>
        <w:tc>
          <w:tcPr>
            <w:tcW w:type="dxa" w:w="850"/>
          </w:tcPr>
          <w:p>
            <w:r/>
            <w:r>
              <w:rPr>
                <w:sz w:val="14"/>
              </w:rPr>
              <w:t>-4.0 %</w:t>
            </w:r>
          </w:p>
        </w:tc>
        <w:tc>
          <w:tcPr>
            <w:tcW w:type="dxa" w:w="907"/>
          </w:tcPr>
          <w:p>
            <w:r/>
            <w:r>
              <w:rPr>
                <w:sz w:val="14"/>
              </w:rPr>
              <w:t>-2.7 %</w:t>
            </w:r>
          </w:p>
        </w:tc>
        <w:tc>
          <w:tcPr>
            <w:tcW w:type="dxa" w:w="1304"/>
          </w:tcPr>
          <w:p>
            <w:r/>
            <w:r>
              <w:rPr>
                <w:sz w:val="14"/>
              </w:rPr>
              <w:t>-228 mm / +1.1 °C</w:t>
            </w:r>
          </w:p>
        </w:tc>
        <w:tc>
          <w:tcPr>
            <w:tcW w:type="dxa" w:w="1304"/>
          </w:tcPr>
          <w:p>
            <w:r/>
            <w:r>
              <w:rPr>
                <w:sz w:val="14"/>
              </w:rPr>
              <w:t>-298 mm / +1.1 °C</w:t>
            </w:r>
          </w:p>
        </w:tc>
        <w:tc>
          <w:tcPr>
            <w:tcW w:type="dxa" w:w="1984"/>
          </w:tcPr>
          <w:p>
            <w:r/>
            <w:r>
              <w:rPr>
                <w:sz w:val="14"/>
              </w:rPr>
              <w:t>2010/11 2016/17 2024/25</w:t>
            </w:r>
          </w:p>
        </w:tc>
      </w:tr>
      <w:tr>
        <w:tc>
          <w:tcPr>
            <w:tcW w:type="dxa" w:w="1587"/>
          </w:tcPr>
          <w:p>
            <w:r/>
            <w:r>
              <w:rPr>
                <w:sz w:val="14"/>
              </w:rPr>
              <w:t>El Niño (ONI 0.5-1.5)</w:t>
            </w:r>
          </w:p>
        </w:tc>
        <w:tc>
          <w:tcPr>
            <w:tcW w:type="dxa" w:w="454"/>
          </w:tcPr>
          <w:p>
            <w:r/>
            <w:r>
              <w:rPr>
                <w:sz w:val="14"/>
              </w:rPr>
              <w:t>4</w:t>
            </w:r>
          </w:p>
        </w:tc>
        <w:tc>
          <w:tcPr>
            <w:tcW w:type="dxa" w:w="850"/>
          </w:tcPr>
          <w:p>
            <w:r/>
            <w:r>
              <w:rPr>
                <w:sz w:val="14"/>
              </w:rPr>
              <w:t>-4.7 %</w:t>
            </w:r>
          </w:p>
        </w:tc>
        <w:tc>
          <w:tcPr>
            <w:tcW w:type="dxa" w:w="850"/>
          </w:tcPr>
          <w:p>
            <w:r/>
            <w:r>
              <w:rPr>
                <w:sz w:val="14"/>
              </w:rPr>
              <w:t>-1.3 %</w:t>
            </w:r>
          </w:p>
        </w:tc>
        <w:tc>
          <w:tcPr>
            <w:tcW w:type="dxa" w:w="850"/>
          </w:tcPr>
          <w:p>
            <w:r/>
            <w:r>
              <w:rPr>
                <w:sz w:val="14"/>
              </w:rPr>
              <w:t>-3.8 %</w:t>
            </w:r>
          </w:p>
        </w:tc>
        <w:tc>
          <w:tcPr>
            <w:tcW w:type="dxa" w:w="907"/>
          </w:tcPr>
          <w:p>
            <w:r/>
            <w:r>
              <w:rPr>
                <w:sz w:val="14"/>
              </w:rPr>
              <w:t>-5.9 %</w:t>
            </w:r>
          </w:p>
        </w:tc>
        <w:tc>
          <w:tcPr>
            <w:tcW w:type="dxa" w:w="1304"/>
          </w:tcPr>
          <w:p>
            <w:r/>
            <w:r>
              <w:rPr>
                <w:sz w:val="14"/>
              </w:rPr>
              <w:t>+105 mm / -0.2 °C</w:t>
            </w:r>
          </w:p>
        </w:tc>
        <w:tc>
          <w:tcPr>
            <w:tcW w:type="dxa" w:w="1304"/>
          </w:tcPr>
          <w:p>
            <w:r/>
            <w:r>
              <w:rPr>
                <w:sz w:val="14"/>
              </w:rPr>
              <w:t>+85 mm / -0.1 °C</w:t>
            </w:r>
          </w:p>
        </w:tc>
        <w:tc>
          <w:tcPr>
            <w:tcW w:type="dxa" w:w="1984"/>
          </w:tcPr>
          <w:p>
            <w:r/>
            <w:r>
              <w:rPr>
                <w:sz w:val="14"/>
              </w:rPr>
              <w:t>2003/04 2005/06 2007/08 2019/20</w:t>
            </w:r>
          </w:p>
        </w:tc>
      </w:tr>
      <w:tr>
        <w:tc>
          <w:tcPr>
            <w:tcW w:type="dxa" w:w="1587"/>
          </w:tcPr>
          <w:p>
            <w:r/>
            <w:r>
              <w:rPr>
                <w:sz w:val="14"/>
              </w:rPr>
              <w:t>La Niña (ONI -0.5 a -1.5)</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 (ONI &lt;= -1.5)</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2023/24) ont donné des campagnes N+1 avec -298 mm et +1.1 °C en Espírito Santo et -228 mm, +1.1 °C à Minas Gerais. Le conilon, non irrigué dans une bonne partie de São Mateus, a perdu -15.3 % par rapport à l'attendu (−30 % en 2016/17) ; l'arabica, en année ON les trois fois, est resté à +0.4 % de l'attendu : le cycle a masqué le choc. Les El Niño ordinaires (ONI &lt; 1,5) n'ont pas de signature météo nette ni de signature de rendement.</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-4.7 % → 41 091, robusta -1.3 % → 22 892 ; si fort, arabica +0.4 % → 43 283, robusta -15.3 % → 19 652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