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-8.8 % (4 campagnes, 100 % sous la moyenne). La Niña : +0.1 % (8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La Niña 2019/20 (-0.7)</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(+2.3)</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(+1.0)</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(-1.0)</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(-1.1)</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(+0.8)</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(-0.5)</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-14.3 %</w:t>
            </w:r>
          </w:p>
        </w:tc>
        <w:tc>
          <w:tcPr>
            <w:tcW w:type="dxa" w:w="1134"/>
          </w:tcPr>
          <w:p>
            <w:r/>
            <w:r>
              <w:rPr>
                <w:sz w:val="15"/>
              </w:rPr>
              <w:t>100 %</w:t>
            </w:r>
          </w:p>
        </w:tc>
        <w:tc>
          <w:tcPr>
            <w:tcW w:type="dxa" w:w="1361"/>
          </w:tcPr>
          <w:p>
            <w:r/>
            <w:r>
              <w:rPr>
                <w:sz w:val="15"/>
              </w:rPr>
              <w:t>-15.6 %</w:t>
            </w:r>
          </w:p>
        </w:tc>
        <w:tc>
          <w:tcPr>
            <w:tcW w:type="dxa" w:w="3402"/>
          </w:tcPr>
          <w:p>
            <w:r/>
            <w:r>
              <w:rPr>
                <w:sz w:val="15"/>
              </w:rPr>
              <w:t>2015/16</w:t>
            </w:r>
          </w:p>
        </w:tc>
      </w:tr>
      <w:tr>
        <w:tc>
          <w:tcPr>
            <w:tcW w:type="dxa" w:w="1814"/>
          </w:tcPr>
          <w:p>
            <w:r/>
            <w:r>
              <w:rPr>
                <w:sz w:val="15"/>
              </w:rPr>
              <w:t>El Niño (0,5 à 1,5)</w:t>
            </w:r>
          </w:p>
        </w:tc>
        <w:tc>
          <w:tcPr>
            <w:tcW w:type="dxa" w:w="567"/>
          </w:tcPr>
          <w:p>
            <w:r/>
            <w:r>
              <w:rPr>
                <w:sz w:val="15"/>
              </w:rPr>
              <w:t>4</w:t>
            </w:r>
          </w:p>
        </w:tc>
        <w:tc>
          <w:tcPr>
            <w:tcW w:type="dxa" w:w="1361"/>
          </w:tcPr>
          <w:p>
            <w:r/>
            <w:r>
              <w:rPr>
                <w:sz w:val="15"/>
              </w:rPr>
              <w:t>-0.9 %</w:t>
            </w:r>
          </w:p>
        </w:tc>
        <w:tc>
          <w:tcPr>
            <w:tcW w:type="dxa" w:w="1134"/>
          </w:tcPr>
          <w:p>
            <w:r/>
            <w:r>
              <w:rPr>
                <w:sz w:val="15"/>
              </w:rPr>
              <w:t>75 %</w:t>
            </w:r>
          </w:p>
        </w:tc>
        <w:tc>
          <w:tcPr>
            <w:tcW w:type="dxa" w:w="1361"/>
          </w:tcPr>
          <w:p>
            <w:r/>
            <w:r>
              <w:rPr>
                <w:sz w:val="15"/>
              </w:rPr>
              <w:t>-6.5 %</w:t>
            </w:r>
          </w:p>
        </w:tc>
        <w:tc>
          <w:tcPr>
            <w:tcW w:type="dxa" w:w="3402"/>
          </w:tcPr>
          <w:p>
            <w:r/>
            <w:r>
              <w:rPr>
                <w:sz w:val="15"/>
              </w:rPr>
              <w:t>2009/10 2014/15 2018/19 2023/24</w:t>
            </w:r>
          </w:p>
        </w:tc>
      </w:tr>
      <w:tr>
        <w:tc>
          <w:tcPr>
            <w:tcW w:type="dxa" w:w="1814"/>
          </w:tcPr>
          <w:p>
            <w:r/>
            <w:r>
              <w:rPr>
                <w:sz w:val="15"/>
              </w:rPr>
              <w:t>neutre</w:t>
            </w:r>
          </w:p>
        </w:tc>
        <w:tc>
          <w:tcPr>
            <w:tcW w:type="dxa" w:w="567"/>
          </w:tcPr>
          <w:p>
            <w:r/>
            <w:r>
              <w:rPr>
                <w:sz w:val="15"/>
              </w:rPr>
              <w:t>2</w:t>
            </w:r>
          </w:p>
        </w:tc>
        <w:tc>
          <w:tcPr>
            <w:tcW w:type="dxa" w:w="1361"/>
          </w:tcPr>
          <w:p>
            <w:r/>
            <w:r>
              <w:rPr>
                <w:sz w:val="15"/>
              </w:rPr>
              <w:t>+4.1 %</w:t>
            </w:r>
          </w:p>
        </w:tc>
        <w:tc>
          <w:tcPr>
            <w:tcW w:type="dxa" w:w="1134"/>
          </w:tcPr>
          <w:p>
            <w:r/>
            <w:r>
              <w:rPr>
                <w:sz w:val="15"/>
              </w:rPr>
              <w:t>0 %</w:t>
            </w:r>
          </w:p>
        </w:tc>
        <w:tc>
          <w:tcPr>
            <w:tcW w:type="dxa" w:w="1361"/>
          </w:tcPr>
          <w:p>
            <w:r/>
            <w:r>
              <w:rPr>
                <w:sz w:val="15"/>
              </w:rPr>
              <w:t>+6.2 %</w:t>
            </w:r>
          </w:p>
        </w:tc>
        <w:tc>
          <w:tcPr>
            <w:tcW w:type="dxa" w:w="3402"/>
          </w:tcPr>
          <w:p>
            <w:r/>
            <w:r>
              <w:rPr>
                <w:sz w:val="15"/>
              </w:rPr>
              <w:t>2012/13 2013/14</w:t>
            </w:r>
          </w:p>
        </w:tc>
      </w:tr>
      <w:tr>
        <w:tc>
          <w:tcPr>
            <w:tcW w:type="dxa" w:w="1814"/>
          </w:tcPr>
          <w:p>
            <w:r/>
            <w:r>
              <w:rPr>
                <w:sz w:val="15"/>
              </w:rPr>
              <w:t>La Niña</w:t>
            </w:r>
          </w:p>
        </w:tc>
        <w:tc>
          <w:tcPr>
            <w:tcW w:type="dxa" w:w="567"/>
          </w:tcPr>
          <w:p>
            <w:r/>
            <w:r>
              <w:rPr>
                <w:sz w:val="15"/>
              </w:rPr>
              <w:t>7</w:t>
            </w:r>
          </w:p>
        </w:tc>
        <w:tc>
          <w:tcPr>
            <w:tcW w:type="dxa" w:w="1361"/>
          </w:tcPr>
          <w:p>
            <w:r/>
            <w:r>
              <w:rPr>
                <w:sz w:val="15"/>
              </w:rPr>
              <w:t>-0.6 %</w:t>
            </w:r>
          </w:p>
        </w:tc>
        <w:tc>
          <w:tcPr>
            <w:tcW w:type="dxa" w:w="1134"/>
          </w:tcPr>
          <w:p>
            <w:r/>
            <w:r>
              <w:rPr>
                <w:sz w:val="15"/>
              </w:rPr>
              <w:t>57 %</w:t>
            </w:r>
          </w:p>
        </w:tc>
        <w:tc>
          <w:tcPr>
            <w:tcW w:type="dxa" w:w="1361"/>
          </w:tcPr>
          <w:p>
            <w:r/>
            <w:r>
              <w:rPr>
                <w:sz w:val="15"/>
              </w:rPr>
              <w:t>-0.4 %</w:t>
            </w:r>
          </w:p>
        </w:tc>
        <w:tc>
          <w:tcPr>
            <w:tcW w:type="dxa" w:w="3402"/>
          </w:tcPr>
          <w:p>
            <w:r/>
            <w:r>
              <w:rPr>
                <w:sz w:val="15"/>
              </w:rPr>
              <w:t>2011/12 2017/18 2019/20 2020/21 2021/22 2022/23 2024/25</w:t>
            </w:r>
          </w:p>
        </w:tc>
      </w:tr>
      <w:tr>
        <w:tc>
          <w:tcPr>
            <w:tcW w:type="dxa" w:w="1814"/>
          </w:tcPr>
          <w:p>
            <w:r/>
            <w:r>
              <w:rPr>
                <w:sz w:val="15"/>
              </w:rPr>
              <w:t>La Niña forte (≤ −1,6)</w:t>
            </w:r>
          </w:p>
        </w:tc>
        <w:tc>
          <w:tcPr>
            <w:tcW w:type="dxa" w:w="567"/>
          </w:tcPr>
          <w:p>
            <w:r/>
            <w:r>
              <w:rPr>
                <w:sz w:val="15"/>
              </w:rPr>
              <w:t>1</w:t>
            </w:r>
          </w:p>
        </w:tc>
        <w:tc>
          <w:tcPr>
            <w:tcW w:type="dxa" w:w="1361"/>
          </w:tcPr>
          <w:p>
            <w:r/>
            <w:r>
              <w:rPr>
                <w:sz w:val="15"/>
              </w:rPr>
              <w:t>+5.5 %</w:t>
            </w:r>
          </w:p>
        </w:tc>
        <w:tc>
          <w:tcPr>
            <w:tcW w:type="dxa" w:w="1134"/>
          </w:tcPr>
          <w:p>
            <w:r/>
            <w:r>
              <w:rPr>
                <w:sz w:val="15"/>
              </w:rPr>
              <w:t>0 %</w:t>
            </w:r>
          </w:p>
        </w:tc>
        <w:tc>
          <w:tcPr>
            <w:tcW w:type="dxa" w:w="1361"/>
          </w:tcPr>
          <w:p>
            <w:r/>
            <w:r>
              <w:rPr>
                <w:sz w:val="15"/>
              </w:rPr>
              <w:t>+12.0 %</w:t>
            </w:r>
          </w:p>
        </w:tc>
        <w:tc>
          <w:tcPr>
            <w:tcW w:type="dxa" w:w="3402"/>
          </w:tcPr>
          <w:p>
            <w:r/>
            <w:r>
              <w:rPr>
                <w:sz w:val="15"/>
              </w:rPr>
              <w:t>2010/11</w:t>
            </w:r>
          </w:p>
        </w:tc>
      </w:tr>
    </w:tbl>
    <w:p/>
    <w:p>
      <w:r>
        <w:rPr>
          <w:b w:val="0"/>
          <w:i w:val="0"/>
          <w:sz w:val="20"/>
        </w:rPr>
        <w:t>Lecture : pour Ouganda, El Niño est historiquement négatif pour le rendement (-3.5 %)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(-9.8 %) : 6 458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