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Stock-to-use du café et prix KC1 / DF1</w:t>
      </w:r>
    </w:p>
    <w:p>
      <w:pPr>
        <w:pStyle w:val="Subtitle"/>
      </w:pPr>
      <w:r>
        <w:t xml:space="preserve">Bilan 2010/11 → 2026/27 · données USDA PSD (juillet 2026), stocks certifiés et prix ICE via l'ICO · 30 septembre 2026</w:t>
      </w:r>
    </w:p>
    <w:p>
      <w:pPr>
        <w:pStyle w:val="Heading1"/>
        <w:keepNext/>
      </w:pPr>
      <w:r>
        <w:t xml:space="preserve">Résumé pour la direction</w:t>
      </w:r>
    </w:p>
    <w:p>
      <w:r>
        <w:t xml:space="preserve">La demande : calculer le stock-to-use (STU) du café, le comparer au prix, savoir comment le prix réagit selon le niveau du ratio, et s'en servir pour prévoir le prix à partir de la production. Le STU est calculé exactement comme demandé : stocks de fin USDA ÷ (consommation domestique + exportations), pour le monde, pour l'arabica et le robusta pays par pays, puis avec les stocks certifiés ICE à la place des stocks de fin. Tous les chiffres ont été recalculés de façon indépendante (aucun écart sur environ 15 000 valeurs) ; les conclusions ont été relues par un vérificateur chargé de les contredire, et ne gardent que ce que les données montrent.</w:t>
      </w:r>
    </w:p>
    <w:p>
      <w:pPr>
        <w:pStyle w:val="Heading2"/>
        <w:keepNext/>
      </w:pPr>
      <w:r>
        <w:t xml:space="preserve">Ce que montrent les données</w:t>
      </w:r>
    </w:p>
    <w:p>
      <w:pPr>
        <w:pStyle w:val="ListBullet"/>
        <w:numPr>
          <w:ilvl w:val="0"/>
          <w:numId w:val="1"/>
        </w:numPr>
      </w:pPr>
      <w:r>
        <w:rPr>
          <w:b/>
        </w:rPr>
        <w:t xml:space="preserve">Stocks bas, prix hauts : la relation va dans le sens attendu. </w:t>
      </w:r>
      <w:r>
        <w:t xml:space="preserve">STU mondial et prix : −0,63 avec le KC, −0,72 avec le DF ; une fois la tendance retirée, −0,58 et −0,59. C'est le lien de niveau le plus fort de l'étude, et il résiste au retrait de la tendance. Mais avec 16 campagnes très liées d'une année à l'autre, il n'est pas prouvé au sens statistique, et il repose surtout sur l'épisode 2023/24-2025/26 (STU sous 8 %, prix records) : sans ces trois campagnes, la corrélation tombe à −0,26 (KC) et −0,21 (DF). Entre 9 et 16 % de STU, le niveau des stocks explique peu le prix.</w:t>
      </w:r>
    </w:p>
    <w:p>
      <w:pPr>
        <w:pStyle w:val="ListBullet"/>
        <w:numPr>
          <w:ilvl w:val="0"/>
          <w:numId w:val="1"/>
        </w:numPr>
      </w:pPr>
      <w:r>
        <w:rPr>
          <w:b/>
        </w:rPr>
        <w:t xml:space="preserve">La production agit par anticipation. </w:t>
      </w:r>
      <w:r>
        <w:t xml:space="preserve">Le DF réagit à la récolte de robusta de la campagne en cours (variations : −0,62, p = 0,01, significatif : −1 % de robusta ≈ +2,1 % de DF). Pour le KC, la piste est la récolte d'arabica de la campagne suivante (−0,49, p = 0,07), pas celle qu'on expédie (−0,08) ; le signal est plus fort pour la Colombie (−0,75) que pour le Brésil seul (−0,45). Ces tests KC sont exploratoires et restent à confirmer.</w:t>
      </w:r>
    </w:p>
    <w:p>
      <w:pPr>
        <w:pStyle w:val="ListBullet"/>
        <w:numPr>
          <w:ilvl w:val="0"/>
          <w:numId w:val="1"/>
        </w:numPr>
      </w:pPr>
      <w:r>
        <w:rPr>
          <w:b/>
        </w:rPr>
        <w:t xml:space="preserve">Le Brésil fait les chocs, le Vietnam n'a pas de coussin. </w:t>
      </w:r>
      <w:r>
        <w:t xml:space="preserve">Le Brésil fait 83 % des chocs de la production mondiale et détient 53 % des stocks des pays d'origine. Le Vietnam garde moins d'une semaine d'exportations en stock : il n'a pas de coussin pour amortir une mauvaise récolte.</w:t>
      </w:r>
    </w:p>
    <w:p>
      <w:pPr>
        <w:pStyle w:val="Heading2"/>
        <w:keepNext/>
      </w:pPr>
      <w:r>
        <w:t xml:space="preserve">Ce qui est fragile ou non démontré</w:t>
      </w:r>
    </w:p>
    <w:p>
      <w:pPr>
        <w:pStyle w:val="ListBullet"/>
        <w:numPr>
          <w:ilvl w:val="0"/>
          <w:numId w:val="1"/>
        </w:numPr>
      </w:pPr>
      <w:r>
        <w:rPr>
          <w:b/>
        </w:rPr>
        <w:t xml:space="preserve">La forme convexe. </w:t>
      </w:r>
      <w:r>
        <w:t xml:space="preserve">L'idée qu'un point de STU pèse plus quand les stocks sont bas est la théorie classique des stocks. Les données la permettent sans la démontrer : l'avantage de la courbe sur une droite vient des trois dernières campagnes.</w:t>
      </w:r>
    </w:p>
    <w:p>
      <w:pPr>
        <w:pStyle w:val="ListBullet"/>
        <w:numPr>
          <w:ilvl w:val="0"/>
          <w:numId w:val="1"/>
        </w:numPr>
      </w:pPr>
      <w:r>
        <w:rPr>
          <w:b/>
        </w:rPr>
        <w:t xml:space="preserve">Les stocks certifiés. </w:t>
      </w:r>
      <w:r>
        <w:t xml:space="preserve">Ils vont avec le prix en niveau (STU certifié arabica / KC : −0,61 ; robusta / DF : −0,56), mais ce lien vient surtout de la tendance commune (certifiés en baisse, prix en hausse depuis 2020 : −0,34 une fois la tendance retirée), un peu du dernier point (fin août 2026 : −0,51 sans lui). Sans tendance, ou d'une année sur l'autre, ils n'expliquent pas mieux le prix que la production. Aucun « effet ricochet » n'est démontré : on ne voit ni le prix remplir les certifiés, ni les certifiés annoncer le prix ; les données sont trop courtes pour exclure un effet modéré.</w:t>
      </w:r>
    </w:p>
    <w:p>
      <w:pPr>
        <w:pStyle w:val="ListBullet"/>
        <w:numPr>
          <w:ilvl w:val="0"/>
          <w:numId w:val="1"/>
        </w:numPr>
      </w:pPr>
      <w:r>
        <w:rPr>
          <w:b/>
        </w:rPr>
        <w:t xml:space="preserve">Stocks USDA en hausse, certifiés en baisse. </w:t>
      </w:r>
      <w:r>
        <w:t xml:space="preserve">Robusta (certifiés de Londres) : 3 cas, et le DF a baissé les trois fois (−3 %, −12 %, −19 %). Arabica (certifiés New York) : 2 cas, KC +15 % puis −6 % : pas de règle. Dans l'autre sens (stocks USDA en baisse, certifiés en hausse), le DF a monté les deux fois, le KC une fois sur deux. C'est une observation sur quelques cas, pas une loi. Plus largement, le sens de variation du STU n'a donné le sens du KC que 8 campagnes sur 14 (7 sur 14 avec le STU arabica) : ce n'est pas une règle de trading.</w:t>
      </w:r>
    </w:p>
    <w:p>
      <w:pPr>
        <w:pStyle w:val="ListBullet"/>
        <w:numPr>
          <w:ilvl w:val="0"/>
          <w:numId w:val="1"/>
        </w:numPr>
      </w:pPr>
      <w:r>
        <w:rPr>
          <w:b/>
        </w:rPr>
        <w:t xml:space="preserve">La taille de l'échantillon. </w:t>
      </w:r>
      <w:r>
        <w:t xml:space="preserve">16 campagnes, très liées d'une année à l'autre, valent environ 4 à 7 observations indépendantes. Les chiffres donnent des ordres de grandeur, pas des lois.</w:t>
      </w:r>
    </w:p>
    <w:p>
      <w:pPr>
        <w:pStyle w:val="Heading2"/>
        <w:keepNext/>
      </w:pPr>
      <w:r>
        <w:t xml:space="preserve">Les trois moteurs du prix</w:t>
      </w:r>
    </w:p>
    <w:p>
      <w:r>
        <w:t xml:space="preserve">1) La récolte à venir, Brésil d'abord (le choc, déclenché par la météo : gel, sécheresse) ; 2) le niveau des stocks, résumé par le STU mondial (ce qui donne probablement sa taille au choc, surtout quand les stocks sont bas) ; 3) la récolte de robusta (Vietnam, conilon brésilien, Indonésie), qui fait le DF. La consommation progresse régulièrement (+1,8 % par an) et ne réagit pas de façon mesurable d'une campagne à l'autre.</w:t>
      </w:r>
    </w:p>
    <w:p>
      <w:pPr>
        <w:pStyle w:val="Heading2"/>
        <w:keepNext/>
      </w:pPr>
      <w:r>
        <w:t xml:space="preserve">Aujourd'hui</w:t>
      </w:r>
    </w:p>
    <w:p>
      <w:r>
        <w:t xml:space="preserve">STU mondial 2026/27 prévu par l'USDA : 7,8 %. La courbe donne un KC autour de 242 c/lb et un DF autour de 3 208 $/t. En août 2026, le marché cotait 313 c/lb et 3 696 $/t, soit +29 % et +15 % au-dessus de la courbe. Pour le KC, c'est juste au-dessus de la limite haute de la zone habituelle (±1 écart-type : −22 % / +28 %) ; pour le DF, c'est dans la zone (−18 % / +22 %). Ce n'est pas une prévision : la courbe ne donne qu'une zone de prix.</w:t>
      </w:r>
    </w:p>
    <w:p>
      <w:pPr>
        <w:pStyle w:val="Heading2"/>
        <w:keepNext/>
      </w:pPr>
      <w:r>
        <w:t xml:space="preserve">Ce qui a été corrigé par rapport aux versions précédentes</w:t>
      </w:r>
    </w:p>
    <w:p>
      <w:pPr>
        <w:pStyle w:val="ListBullet"/>
        <w:numPr>
          <w:ilvl w:val="0"/>
          <w:numId w:val="1"/>
        </w:numPr>
      </w:pPr>
      <w:r>
        <w:t xml:space="preserve">Les États-Unis, les Philippines, la Chine, Panama et le Venezuela produisent un peu de café mais en importent plus qu'ils n'en exportent. Ils étaient comptés comme pays producteurs, et les 5,7 M sacs de stocks américains gonflaient le STU arabica. Ils sont désormais exclus des STU arabica et robusta (ils restent dans le total mondial). Effet : STU arabica plus bas de 1,9 à 4,6 points selon l'année ; les conclusions ne changent pas (corrélation avec le KC −0,39 au lieu de −0,48).</w:t>
      </w:r>
    </w:p>
    <w:p>
      <w:pPr>
        <w:pStyle w:val="ListBullet"/>
        <w:numPr>
          <w:ilvl w:val="0"/>
          <w:numId w:val="1"/>
        </w:numPr>
      </w:pPr>
      <w:r>
        <w:t xml:space="preserve">Le STU mondial suit la définition demandée, stocks ÷ (conso + export) ; l'ancienne définition USDA/ICO, stocks ÷ conso, a la même forme mais un niveau environ deux fois plus haut.</w:t>
      </w:r>
    </w:p>
    <w:p>
      <w:pPr>
        <w:pStyle w:val="ListBullet"/>
        <w:numPr>
          <w:ilvl w:val="0"/>
          <w:numId w:val="1"/>
        </w:numPr>
      </w:pPr>
      <w:r>
        <w:t xml:space="preserve">Plusieurs conclusions des versions précédentes étaient trop affirmatives et sont revues ici : la « règle » stocks USDA / certifiés, la convexité présentée comme démontrée, l'absence totale d'effet des certifiés, et le chiffre de −1 point de STU ≈ +27 % de KC à 7 %, qui dépend de la forme de courbe choisie.</w:t>
      </w:r>
    </w:p>
    <w:p>
      <w:pPr>
        <w:pStyle w:val="Heading1"/>
        <w:keepNext/>
      </w:pPr>
      <w:r>
        <w:t xml:space="preserve">Méthode et données</w:t>
      </w:r>
    </w:p>
    <w:p>
      <w:pPr>
        <w:pStyle w:val="ListBullet"/>
        <w:numPr>
          <w:ilvl w:val="0"/>
          <w:numId w:val="1"/>
        </w:numPr>
      </w:pPr>
      <w:r>
        <w:rPr>
          <w:b/>
        </w:rPr>
        <w:t xml:space="preserve">Volumes : </w:t>
      </w:r>
      <w:r>
        <w:t xml:space="preserve">USDA FAS, PSD Online, fichier café de juillet 2026, 93 pays, en milliers de sacs de 60 kg. 2026/27 = prévision USDA de juin 2026. Chaque pays est dans sa campagne locale (Brésil juillet-juin, Vietnam octobre-septembre).</w:t>
      </w:r>
    </w:p>
    <w:p>
      <w:pPr>
        <w:pStyle w:val="ListBullet"/>
        <w:numPr>
          <w:ilvl w:val="0"/>
          <w:numId w:val="1"/>
        </w:numPr>
      </w:pPr>
      <w:r>
        <w:rPr>
          <w:b/>
        </w:rPr>
        <w:t xml:space="preserve">STU d'un pays : </w:t>
      </w:r>
      <w:r>
        <w:t xml:space="preserve">stocks de fin ÷ (consommation domestique + exportations), chiffres USDA exacts, sans aucune estimation.</w:t>
      </w:r>
    </w:p>
    <w:p>
      <w:pPr>
        <w:pStyle w:val="ListBullet"/>
        <w:numPr>
          <w:ilvl w:val="0"/>
          <w:numId w:val="1"/>
        </w:numPr>
      </w:pPr>
      <w:r>
        <w:rPr>
          <w:b/>
        </w:rPr>
        <w:t xml:space="preserve">Arabica et robusta : </w:t>
      </w:r>
      <w:r>
        <w:t xml:space="preserve">dans le fichier USDA, seule la production est ventilée par espèce (Arabica Production, Robusta Production). Exportations, importations et consommation ne sont ventilées que par forme (vert, torréfié, soluble) ; les stocks ne le sont pas du tout. Il n'existe donc pas de « stocks de fin arabica » USDA. Le STU arabica additionne les 42 pays d'origine en prenant, pour chacun, la part arabica de sa production de l'année. Colombie, Éthiopie et Honduras sont à 100 % arabica (chiffre exact) ; le Vietnam à 96-97 % robusta. La répartition pèse surtout sur les pays mixtes : Brésil (60 % à 81 % d'arabica selon l'année), Inde, Ouganda, Indonésie, Mexique.</w:t>
      </w:r>
    </w:p>
    <w:p>
      <w:pPr>
        <w:pStyle w:val="ListBullet"/>
        <w:numPr>
          <w:ilvl w:val="0"/>
          <w:numId w:val="1"/>
        </w:numPr>
      </w:pPr>
      <w:r>
        <w:rPr>
          <w:b/>
        </w:rPr>
        <w:t xml:space="preserve">Ce sont des STU de pays d'origine. </w:t>
      </w:r>
      <w:r>
        <w:t xml:space="preserve">Les stocks des pays consommateurs (UE, États-Unis, Japon : 51 % à 77 % des stocks mondiaux, dont les stocks certifiés) ne sont pas répartis par espèce et ne figurent que dans le STU mondial.</w:t>
      </w:r>
    </w:p>
    <w:p>
      <w:pPr>
        <w:pStyle w:val="ListBullet"/>
        <w:numPr>
          <w:ilvl w:val="0"/>
          <w:numId w:val="1"/>
        </w:numPr>
      </w:pPr>
      <w:r>
        <w:rPr>
          <w:b/>
        </w:rPr>
        <w:t xml:space="preserve">Contrôle de la méthode : </w:t>
      </w:r>
      <w:r>
        <w:t xml:space="preserve">deux calculs sans aucune répartition. En classant chaque pays à 100 % dans son espèce majoritaire, on retrouve la même courbe (corrélation 0,99 en arabica, 0,94 en robusta). En ne gardant que les pays purs (plus de 90 %), la courbe robusta garde sa forme (0,88) mais pas la courbe arabica (0,31), parce que le Brésil en sort. Les trois séries figurent dans l'Excel.</w:t>
      </w:r>
    </w:p>
    <w:p>
      <w:pPr>
        <w:pStyle w:val="ListBullet"/>
        <w:numPr>
          <w:ilvl w:val="0"/>
          <w:numId w:val="1"/>
        </w:numPr>
      </w:pPr>
      <w:r>
        <w:rPr>
          <w:b/>
        </w:rPr>
        <w:t xml:space="preserve">Stocks certifiés : </w:t>
      </w:r>
      <w:r>
        <w:t xml:space="preserve">ICE New York (arabica) et Londres (robusta), fin de campagne = fin septembre (fin août 2026 pour 2025/26, dernier mois publié). Source : tableaux mensuels des rapports ICO, juin 2012 → août 2026. Avec un autre mois de relevé (fin juin, décembre, moyenne de campagne), la corrélation de niveau reste négative (arabica −0,45 à −0,68 ; robusta −0,56 à −0,71), mais sa force change.</w:t>
      </w:r>
    </w:p>
    <w:p>
      <w:pPr>
        <w:pStyle w:val="ListBullet"/>
        <w:numPr>
          <w:ilvl w:val="0"/>
          <w:numId w:val="1"/>
        </w:numPr>
      </w:pPr>
      <w:r>
        <w:rPr>
          <w:b/>
        </w:rPr>
        <w:t xml:space="preserve">Prix : </w:t>
      </w:r>
      <w:r>
        <w:t xml:space="preserve">moyenne octobre-septembre de ICE New York et ICE Londres (moyennes mensuelles ICO des 2e et 3e positions, proxy de KC1 et DF1). 2025/26 = octobre 2025 → août 2026 (11 mois).</w:t>
      </w:r>
    </w:p>
    <w:p>
      <w:pPr>
        <w:pStyle w:val="ListBullet"/>
        <w:numPr>
          <w:ilvl w:val="0"/>
          <w:numId w:val="1"/>
        </w:numPr>
      </w:pPr>
      <w:r>
        <w:rPr>
          <w:b/>
        </w:rPr>
        <w:t xml:space="preserve">Statistiques : </w:t>
      </w:r>
      <w:r>
        <w:t xml:space="preserve">corrélations sur le logarithme des prix, 16 campagnes (15 avec les certifiés). Les séries annuelles sont très autocorrélées (0,77 pour le STU mondial, 0,71 pour le KC) : les p du rapport (niveau et sans tendance) tiennent compte du nombre réel d'observations indépendantes. p = probabilité d'obtenir la corrélation par hasard ; sous 0,05, c'est significatif.</w:t>
      </w:r>
    </w:p>
    <w:p>
      <w:r>
        <w:br w:type="page"/>
      </w:r>
    </w:p>
    <w:p>
      <w:pPr>
        <w:pStyle w:val="Heading1"/>
        <w:keepNext/>
      </w:pPr>
      <w:r>
        <w:t xml:space="preserve">1. Monde : production, STU et stocks certifiés</w:t>
      </w:r>
    </w:p>
    <w:p>
      <w:pPr>
        <w:pStyle w:val="Figure"/>
        <w:keepNext/>
      </w:pPr>
      <w:r>
        <w:drawing>
          <wp:inline distT="0" distB="0" distL="0" distR="0">
            <wp:extent cx="5940000" cy="2390907"/>
            <wp:docPr id="1" name="Graphique 1"/>
            <wp:cNvGraphicFramePr>
              <a:graphicFrameLocks noChangeAspect="1"/>
            </wp:cNvGraphicFramePr>
            <a:graphic>
              <a:graphicData uri="http://schemas.openxmlformats.org/drawingml/2006/picture">
                <pic:pic>
                  <pic:nvPicPr>
                    <pic:cNvPr id="1" name="graphique1.png"/>
                    <pic:cNvPicPr/>
                  </pic:nvPicPr>
                  <pic:blipFill>
                    <a:blip r:embed="rIdImg1"/>
                    <a:stretch>
                      <a:fillRect/>
                    </a:stretch>
                  </pic:blipFill>
                  <pic:spPr>
                    <a:xfrm>
                      <a:off x="0" y="0"/>
                      <a:ext cx="5940000" cy="2390907"/>
                    </a:xfrm>
                    <a:prstGeom prst="rect">
                      <a:avLst/>
                    </a:prstGeom>
                  </pic:spPr>
                </pic:pic>
              </a:graphicData>
            </a:graphic>
          </wp:inline>
        </w:drawing>
      </w:r>
    </w:p>
    <w:p>
      <w:pPr>
        <w:pStyle w:val="Caption"/>
      </w:pPr>
      <w:r>
        <w:t xml:space="preserve">Graphique 1 — Production mondiale (colonnes) et prix moyens de campagne KC1 et DF1 en US c/lb (courbes, axe droit).</w:t>
      </w:r>
    </w:p>
    <w:p>
      <w:r>
        <w:t xml:space="preserve">La production mondiale passe de 141,4 à 189,7 M sacs entre 2010/11 et 2026/27 (+1,9 % par an). Son niveau ne dit pas le prix : 2010/11 flambe avec la plus petite récolte de la période, 2021/22 avec une récolte en baisse de 6,5 % (gel et sécheresse au Brésil), 2023/24-2025/26 avec des récoltes normales ou grosses. Sans tendance, production et KC vont en sens inverse (−0,44), sans que ce soit significatif.</w:t>
      </w:r>
    </w:p>
    <w:p>
      <w:pPr>
        <w:pStyle w:val="Figure"/>
        <w:keepNext/>
      </w:pPr>
      <w:r>
        <w:drawing>
          <wp:inline distT="0" distB="0" distL="0" distR="0">
            <wp:extent cx="5940000" cy="2390907"/>
            <wp:docPr id="2" name="Graphique 2"/>
            <wp:cNvGraphicFramePr>
              <a:graphicFrameLocks noChangeAspect="1"/>
            </wp:cNvGraphicFramePr>
            <a:graphic>
              <a:graphicData uri="http://schemas.openxmlformats.org/drawingml/2006/picture">
                <pic:pic>
                  <pic:nvPicPr>
                    <pic:cNvPr id="2" name="graphique2.png"/>
                    <pic:cNvPicPr/>
                  </pic:nvPicPr>
                  <pic:blipFill>
                    <a:blip r:embed="rIdImg2"/>
                    <a:stretch>
                      <a:fillRect/>
                    </a:stretch>
                  </pic:blipFill>
                  <pic:spPr>
                    <a:xfrm>
                      <a:off x="0" y="0"/>
                      <a:ext cx="5940000" cy="2390907"/>
                    </a:xfrm>
                    <a:prstGeom prst="rect">
                      <a:avLst/>
                    </a:prstGeom>
                  </pic:spPr>
                </pic:pic>
              </a:graphicData>
            </a:graphic>
          </wp:inline>
        </w:drawing>
      </w:r>
    </w:p>
    <w:p>
      <w:pPr>
        <w:pStyle w:val="Caption"/>
      </w:pPr>
      <w:r>
        <w:t xml:space="preserve">Graphique 2 — STU mondial = stocks de fin ÷ (consommation domestique + exportations), 93 pays, avec KC1 et DF1.</w:t>
      </w:r>
    </w:p>
    <w:p>
      <w:r>
        <w:t xml:space="preserve">Le STU mondial dessine le cycle des stocks : 15,9 % en 2014/15, puis une tendance à la baisse (avec trois petites remontées) jusqu'à 6,9 % en 2024/25, le plus bas de la période, quand les prix font leurs records. Il remonte à 7,6 % en 2025/26 et 7,8 % prévu en 2026/27. Entre 2021/22 et 2024/25, les stocks mondiaux baissent de 9,9 M sacs, dont 5,8 M pour l'Union européenne (estimation USDA) et seulement 2,5 M pour les pays d'origine : le STU mondial suit donc beaucoup les stocks des pays consommateurs.</w:t>
      </w:r>
    </w:p>
    <w:p>
      <w:pPr>
        <w:pStyle w:val="Figure"/>
        <w:keepNext/>
      </w:pPr>
      <w:r>
        <w:drawing>
          <wp:inline distT="0" distB="0" distL="0" distR="0">
            <wp:extent cx="5940000" cy="2390907"/>
            <wp:docPr id="3" name="Graphique 3"/>
            <wp:cNvGraphicFramePr>
              <a:graphicFrameLocks noChangeAspect="1"/>
            </wp:cNvGraphicFramePr>
            <a:graphic>
              <a:graphicData uri="http://schemas.openxmlformats.org/drawingml/2006/picture">
                <pic:pic>
                  <pic:nvPicPr>
                    <pic:cNvPr id="3" name="graphique3.png"/>
                    <pic:cNvPicPr/>
                  </pic:nvPicPr>
                  <pic:blipFill>
                    <a:blip r:embed="rIdImg3"/>
                    <a:stretch>
                      <a:fillRect/>
                    </a:stretch>
                  </pic:blipFill>
                  <pic:spPr>
                    <a:xfrm>
                      <a:off x="0" y="0"/>
                      <a:ext cx="5940000" cy="2390907"/>
                    </a:xfrm>
                    <a:prstGeom prst="rect">
                      <a:avLst/>
                    </a:prstGeom>
                  </pic:spPr>
                </pic:pic>
              </a:graphicData>
            </a:graphic>
          </wp:inline>
        </w:drawing>
      </w:r>
    </w:p>
    <w:p>
      <w:pPr>
        <w:pStyle w:val="Caption"/>
      </w:pPr>
      <w:r>
        <w:t xml:space="preserve">Graphique 3 — STU certifié = stocks certifiés ICE New York + Londres en fin de campagne ÷ (consommation + exportations mondiales).</w:t>
      </w:r>
    </w:p>
    <w:p>
      <w:r>
        <w:t xml:space="preserve">Les stocks certifiés représentent une petite partie des stocks (2,1 % de l'utilisation en 2014/15, 0,34 % en 2025/26), mais c'est la partie livrable sur les marchés à terme. Leur ratio a chuté en 2021/22 et reste depuis sous 0,8 %.</w:t>
      </w:r>
    </w:p>
    <w:p>
      <w:r>
        <w:br w:type="page"/>
      </w:r>
    </w:p>
    <w:p>
      <w:pPr>
        <w:pStyle w:val="Heading1"/>
        <w:keepNext/>
      </w:pPr>
      <w:r>
        <w:t xml:space="preserve">2. Arabica : production, STU et stocks certifiés, avec le KC1</w:t>
      </w:r>
    </w:p>
    <w:p>
      <w:pPr>
        <w:pStyle w:val="Figure"/>
        <w:keepNext/>
      </w:pPr>
      <w:r>
        <w:drawing>
          <wp:inline distT="0" distB="0" distL="0" distR="0">
            <wp:extent cx="5940000" cy="2390907"/>
            <wp:docPr id="4" name="Graphique 4"/>
            <wp:cNvGraphicFramePr>
              <a:graphicFrameLocks noChangeAspect="1"/>
            </wp:cNvGraphicFramePr>
            <a:graphic>
              <a:graphicData uri="http://schemas.openxmlformats.org/drawingml/2006/picture">
                <pic:pic>
                  <pic:nvPicPr>
                    <pic:cNvPr id="4" name="graphique4.png"/>
                    <pic:cNvPicPr/>
                  </pic:nvPicPr>
                  <pic:blipFill>
                    <a:blip r:embed="rIdImg4"/>
                    <a:stretch>
                      <a:fillRect/>
                    </a:stretch>
                  </pic:blipFill>
                  <pic:spPr>
                    <a:xfrm>
                      <a:off x="0" y="0"/>
                      <a:ext cx="5940000" cy="2390907"/>
                    </a:xfrm>
                    <a:prstGeom prst="rect">
                      <a:avLst/>
                    </a:prstGeom>
                  </pic:spPr>
                </pic:pic>
              </a:graphicData>
            </a:graphic>
          </wp:inline>
        </w:drawing>
      </w:r>
    </w:p>
    <w:p>
      <w:pPr>
        <w:pStyle w:val="Caption"/>
      </w:pPr>
      <w:r>
        <w:t xml:space="preserve">Graphique 4 — Production mondiale d'arabica et KC1.</w:t>
      </w:r>
    </w:p>
    <w:p>
      <w:pPr>
        <w:pStyle w:val="Figure"/>
        <w:keepNext/>
      </w:pPr>
      <w:r>
        <w:drawing>
          <wp:inline distT="0" distB="0" distL="0" distR="0">
            <wp:extent cx="5940000" cy="2390907"/>
            <wp:docPr id="5" name="Graphique 5"/>
            <wp:cNvGraphicFramePr>
              <a:graphicFrameLocks noChangeAspect="1"/>
            </wp:cNvGraphicFramePr>
            <a:graphic>
              <a:graphicData uri="http://schemas.openxmlformats.org/drawingml/2006/picture">
                <pic:pic>
                  <pic:nvPicPr>
                    <pic:cNvPr id="5" name="graphique5.png"/>
                    <pic:cNvPicPr/>
                  </pic:nvPicPr>
                  <pic:blipFill>
                    <a:blip r:embed="rIdImg5"/>
                    <a:stretch>
                      <a:fillRect/>
                    </a:stretch>
                  </pic:blipFill>
                  <pic:spPr>
                    <a:xfrm>
                      <a:off x="0" y="0"/>
                      <a:ext cx="5940000" cy="2390907"/>
                    </a:xfrm>
                    <a:prstGeom prst="rect">
                      <a:avLst/>
                    </a:prstGeom>
                  </pic:spPr>
                </pic:pic>
              </a:graphicData>
            </a:graphic>
          </wp:inline>
        </w:drawing>
      </w:r>
    </w:p>
    <w:p>
      <w:pPr>
        <w:pStyle w:val="Caption"/>
      </w:pPr>
      <w:r>
        <w:t xml:space="preserve">Graphique 5 — STU arabica des 42 pays d'origine : stocks de fin et (conso + export) pondérés par la part d'arabica de chaque pays.</w:t>
      </w:r>
    </w:p>
    <w:p>
      <w:pPr>
        <w:pStyle w:val="Figure"/>
        <w:keepNext/>
      </w:pPr>
      <w:r>
        <w:drawing>
          <wp:inline distT="0" distB="0" distL="0" distR="0">
            <wp:extent cx="5940000" cy="2390907"/>
            <wp:docPr id="6" name="Graphique 6"/>
            <wp:cNvGraphicFramePr>
              <a:graphicFrameLocks noChangeAspect="1"/>
            </wp:cNvGraphicFramePr>
            <a:graphic>
              <a:graphicData uri="http://schemas.openxmlformats.org/drawingml/2006/picture">
                <pic:pic>
                  <pic:nvPicPr>
                    <pic:cNvPr id="6" name="graphique6.png"/>
                    <pic:cNvPicPr/>
                  </pic:nvPicPr>
                  <pic:blipFill>
                    <a:blip r:embed="rIdImg6"/>
                    <a:stretch>
                      <a:fillRect/>
                    </a:stretch>
                  </pic:blipFill>
                  <pic:spPr>
                    <a:xfrm>
                      <a:off x="0" y="0"/>
                      <a:ext cx="5940000" cy="2390907"/>
                    </a:xfrm>
                    <a:prstGeom prst="rect">
                      <a:avLst/>
                    </a:prstGeom>
                  </pic:spPr>
                </pic:pic>
              </a:graphicData>
            </a:graphic>
          </wp:inline>
        </w:drawing>
      </w:r>
    </w:p>
    <w:p>
      <w:pPr>
        <w:pStyle w:val="Caption"/>
      </w:pPr>
      <w:r>
        <w:t xml:space="preserve">Graphique 6 — STU arabica des stocks certifiés New York (même dénominateur que le graphique 5).</w:t>
      </w:r>
    </w:p>
    <w:p>
      <w:r>
        <w:t xml:space="preserve">Corrélation avec le KC en niveau : production −0,14, STU stocks de fin −0,39, STU certifié −0,61. En niveau, le STU certifié est donc le plus lié au KC, mais ce classement disparaît quand on retire la tendance (−0,35, −0,25, −0,34). Sans le point 2025/26, le lien des certifiés s'affaiblit (−0,51) mais reste le plus fort. Le STU arabica des pays d'origine tombe de 13,3 % (2013/14) à 2,6 % (2021/22 et 2024/25), les deux années de flambée du KC.</w:t>
      </w:r>
    </w:p>
    <w:p>
      <w:r>
        <w:br w:type="page"/>
      </w:r>
    </w:p>
    <w:p>
      <w:pPr>
        <w:pStyle w:val="Heading1"/>
        <w:keepNext/>
      </w:pPr>
      <w:r>
        <w:t xml:space="preserve">3. Robusta : production, STU et stocks certifiés, avec le DF1</w:t>
      </w:r>
    </w:p>
    <w:p>
      <w:pPr>
        <w:pStyle w:val="Figure"/>
        <w:keepNext/>
      </w:pPr>
      <w:r>
        <w:drawing>
          <wp:inline distT="0" distB="0" distL="0" distR="0">
            <wp:extent cx="5940000" cy="2390907"/>
            <wp:docPr id="7" name="Graphique 7"/>
            <wp:cNvGraphicFramePr>
              <a:graphicFrameLocks noChangeAspect="1"/>
            </wp:cNvGraphicFramePr>
            <a:graphic>
              <a:graphicData uri="http://schemas.openxmlformats.org/drawingml/2006/picture">
                <pic:pic>
                  <pic:nvPicPr>
                    <pic:cNvPr id="7" name="graphique7.png"/>
                    <pic:cNvPicPr/>
                  </pic:nvPicPr>
                  <pic:blipFill>
                    <a:blip r:embed="rIdImg7"/>
                    <a:stretch>
                      <a:fillRect/>
                    </a:stretch>
                  </pic:blipFill>
                  <pic:spPr>
                    <a:xfrm>
                      <a:off x="0" y="0"/>
                      <a:ext cx="5940000" cy="2390907"/>
                    </a:xfrm>
                    <a:prstGeom prst="rect">
                      <a:avLst/>
                    </a:prstGeom>
                  </pic:spPr>
                </pic:pic>
              </a:graphicData>
            </a:graphic>
          </wp:inline>
        </w:drawing>
      </w:r>
    </w:p>
    <w:p>
      <w:pPr>
        <w:pStyle w:val="Caption"/>
      </w:pPr>
      <w:r>
        <w:t xml:space="preserve">Graphique 7 — Production mondiale de robusta et DF1 (US$/t).</w:t>
      </w:r>
    </w:p>
    <w:p>
      <w:pPr>
        <w:pStyle w:val="Figure"/>
        <w:keepNext/>
      </w:pPr>
      <w:r>
        <w:drawing>
          <wp:inline distT="0" distB="0" distL="0" distR="0">
            <wp:extent cx="5940000" cy="2390907"/>
            <wp:docPr id="8" name="Graphique 8"/>
            <wp:cNvGraphicFramePr>
              <a:graphicFrameLocks noChangeAspect="1"/>
            </wp:cNvGraphicFramePr>
            <a:graphic>
              <a:graphicData uri="http://schemas.openxmlformats.org/drawingml/2006/picture">
                <pic:pic>
                  <pic:nvPicPr>
                    <pic:cNvPr id="8" name="graphique8.png"/>
                    <pic:cNvPicPr/>
                  </pic:nvPicPr>
                  <pic:blipFill>
                    <a:blip r:embed="rIdImg8"/>
                    <a:stretch>
                      <a:fillRect/>
                    </a:stretch>
                  </pic:blipFill>
                  <pic:spPr>
                    <a:xfrm>
                      <a:off x="0" y="0"/>
                      <a:ext cx="5940000" cy="2390907"/>
                    </a:xfrm>
                    <a:prstGeom prst="rect">
                      <a:avLst/>
                    </a:prstGeom>
                  </pic:spPr>
                </pic:pic>
              </a:graphicData>
            </a:graphic>
          </wp:inline>
        </w:drawing>
      </w:r>
    </w:p>
    <w:p>
      <w:pPr>
        <w:pStyle w:val="Caption"/>
      </w:pPr>
      <w:r>
        <w:t xml:space="preserve">Graphique 8 — STU robusta des 42 pays d'origine, pondérés par la part de robusta.</w:t>
      </w:r>
    </w:p>
    <w:p>
      <w:pPr>
        <w:pStyle w:val="Figure"/>
        <w:keepNext/>
      </w:pPr>
      <w:r>
        <w:drawing>
          <wp:inline distT="0" distB="0" distL="0" distR="0">
            <wp:extent cx="5940000" cy="2390907"/>
            <wp:docPr id="9" name="Graphique 9"/>
            <wp:cNvGraphicFramePr>
              <a:graphicFrameLocks noChangeAspect="1"/>
            </wp:cNvGraphicFramePr>
            <a:graphic>
              <a:graphicData uri="http://schemas.openxmlformats.org/drawingml/2006/picture">
                <pic:pic>
                  <pic:nvPicPr>
                    <pic:cNvPr id="9" name="graphique9.png"/>
                    <pic:cNvPicPr/>
                  </pic:nvPicPr>
                  <pic:blipFill>
                    <a:blip r:embed="rIdImg9"/>
                    <a:stretch>
                      <a:fillRect/>
                    </a:stretch>
                  </pic:blipFill>
                  <pic:spPr>
                    <a:xfrm>
                      <a:off x="0" y="0"/>
                      <a:ext cx="5940000" cy="2390907"/>
                    </a:xfrm>
                    <a:prstGeom prst="rect">
                      <a:avLst/>
                    </a:prstGeom>
                  </pic:spPr>
                </pic:pic>
              </a:graphicData>
            </a:graphic>
          </wp:inline>
        </w:drawing>
      </w:r>
    </w:p>
    <w:p>
      <w:pPr>
        <w:pStyle w:val="Caption"/>
      </w:pPr>
      <w:r>
        <w:t xml:space="preserve">Graphique 9 — STU robusta des stocks certifiés de Londres.</w:t>
      </w:r>
    </w:p>
    <w:p>
      <w:r>
        <w:t xml:space="preserve">La production de robusta a progressé de 53,5 à 83,8 M sacs : la corrélation de niveau avec le DF est positive (0,31) parce que les deux ont monté. Ce sont les reculs de récolte qui font le prix : d'une campagne à l'autre, −0,62 (p = 0,01). STU robusta et DF : −0,54 ; STU certifié et DF : −0,56 (niveaux, non significatifs une fois l'autocorrélation prise en compte).</w:t>
      </w:r>
    </w:p>
    <w:p>
      <w:r>
        <w:br w:type="page"/>
      </w:r>
    </w:p>
    <w:p>
      <w:pPr>
        <w:pStyle w:val="Heading1"/>
        <w:keepNext/>
      </w:pPr>
      <w:r>
        <w:t xml:space="preserve">4. Comment le prix réagit selon le niveau du STU</w:t>
      </w:r>
    </w:p>
    <w:p>
      <w:pPr>
        <w:pStyle w:val="Figure"/>
        <w:keepNext/>
      </w:pPr>
      <w:r>
        <w:drawing>
          <wp:inline distT="0" distB="0" distL="0" distR="0">
            <wp:extent cx="5940000" cy="2706254"/>
            <wp:docPr id="10" name="Graphique 10"/>
            <wp:cNvGraphicFramePr>
              <a:graphicFrameLocks noChangeAspect="1"/>
            </wp:cNvGraphicFramePr>
            <a:graphic>
              <a:graphicData uri="http://schemas.openxmlformats.org/drawingml/2006/picture">
                <pic:pic>
                  <pic:nvPicPr>
                    <pic:cNvPr id="10" name="graphique10.png"/>
                    <pic:cNvPicPr/>
                  </pic:nvPicPr>
                  <pic:blipFill>
                    <a:blip r:embed="rIdImg10"/>
                    <a:stretch>
                      <a:fillRect/>
                    </a:stretch>
                  </pic:blipFill>
                  <pic:spPr>
                    <a:xfrm>
                      <a:off x="0" y="0"/>
                      <a:ext cx="5940000" cy="2706254"/>
                    </a:xfrm>
                    <a:prstGeom prst="rect">
                      <a:avLst/>
                    </a:prstGeom>
                  </pic:spPr>
                </pic:pic>
              </a:graphicData>
            </a:graphic>
          </wp:inline>
        </w:drawing>
      </w:r>
    </w:p>
    <w:p>
      <w:pPr>
        <w:pStyle w:val="Caption"/>
      </w:pPr>
      <w:r>
        <w:t xml:space="preserve">Graphique 10 — KC1 moyen de chaque campagne selon le STU mondial, et courbe ajustée ln(prix) = a + b ÷ STU.</w:t>
      </w:r>
    </w:p>
    <w:p>
      <w:r>
        <w:t xml:space="preserve">La courbe ln(prix) = a + b ÷ STU explique 51 % des variations du KC et 71 % de celles du DF, un peu plus qu'une droite (40 % pour le KC) ou une courbe logarithmique (46 %). Elle traduit la théorie classique des stocks : quand ils sont abondants, le prix bouge peu ; quand ils manquent, il doit monter jusqu'à freiner la demande. Mais l'avantage de cette forme vient des trois campagnes 2023/24-2025/26 : sans elles, le STU n'explique plus qu'environ 10 % des variations du KC et du DF. La courbe est une hypothèse utile, pas une loi démontrée.</w:t>
      </w:r>
    </w:p>
    <w:tbl>
      <w:tblPr>
        <w:tblStyle w:val="Grille"/>
        <w:tblW w:w="99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2400"/>
        <w:gridCol w:w="2300"/>
        <w:gridCol w:w="2300"/>
        <w:gridCol w:w="2900"/>
      </w:tblGrid>
      <w:tr>
        <w:trPr>
          <w:tblHeader/>
        </w:trPr>
        <w:tc>
          <w:tcPr>
            <w:tcW w:w="2400" w:type="dxa"/>
            <w:shd w:val="clear" w:color="auto" w:fill="1F3864"/>
            <w:vAlign w:val="center"/>
          </w:tcPr>
          <w:p>
            <w:pPr>
              <w:spacing w:before="20" w:after="20"/>
              <w:jc w:val="center"/>
            </w:pPr>
            <w:r>
              <w:rPr>
                <w:b/>
                <w:color w:val="FFFFFF"/>
                <w:sz w:val="16"/>
                <w:szCs w:val="16"/>
              </w:rPr>
              <w:t xml:space="preserve">STU mondial</w:t>
            </w:r>
          </w:p>
        </w:tc>
        <w:tc>
          <w:tcPr>
            <w:tcW w:w="2300" w:type="dxa"/>
            <w:shd w:val="clear" w:color="auto" w:fill="1F3864"/>
            <w:vAlign w:val="center"/>
          </w:tcPr>
          <w:p>
            <w:pPr>
              <w:spacing w:before="20" w:after="20"/>
              <w:jc w:val="center"/>
            </w:pPr>
            <w:r>
              <w:rPr>
                <w:b/>
                <w:color w:val="FFFFFF"/>
                <w:sz w:val="16"/>
                <w:szCs w:val="16"/>
              </w:rPr>
              <w:t xml:space="preserve">KC1 de courbe (c/lb)</w:t>
            </w:r>
          </w:p>
        </w:tc>
        <w:tc>
          <w:tcPr>
            <w:tcW w:w="2300" w:type="dxa"/>
            <w:shd w:val="clear" w:color="auto" w:fill="1F3864"/>
            <w:vAlign w:val="center"/>
          </w:tcPr>
          <w:p>
            <w:pPr>
              <w:spacing w:before="20" w:after="20"/>
              <w:jc w:val="center"/>
            </w:pPr>
            <w:r>
              <w:rPr>
                <w:b/>
                <w:color w:val="FFFFFF"/>
                <w:sz w:val="16"/>
                <w:szCs w:val="16"/>
              </w:rPr>
              <w:t xml:space="preserve">DF1 de courbe ($/t)</w:t>
            </w:r>
          </w:p>
        </w:tc>
        <w:tc>
          <w:tcPr>
            <w:tcW w:w="2900" w:type="dxa"/>
            <w:shd w:val="clear" w:color="auto" w:fill="1F3864"/>
            <w:vAlign w:val="center"/>
          </w:tcPr>
          <w:p>
            <w:pPr>
              <w:spacing w:before="20" w:after="20"/>
              <w:jc w:val="center"/>
            </w:pPr>
            <w:r>
              <w:rPr>
                <w:b/>
                <w:color w:val="FFFFFF"/>
                <w:sz w:val="16"/>
                <w:szCs w:val="16"/>
              </w:rPr>
              <w:t xml:space="preserve">Effet de −1 point de STU sur le KC (selon la courbe)</w:t>
            </w:r>
          </w:p>
        </w:tc>
      </w:tr>
      <w:tr>
        <w:trPr>
          <w:cantSplit/>
        </w:trPr>
        <w:tc>
          <w:tcPr>
            <w:tcW w:w="2400" w:type="dxa"/>
            <w:vAlign w:val="center"/>
          </w:tcPr>
          <w:p>
            <w:pPr>
              <w:spacing w:before="20" w:after="20"/>
              <w:jc w:val="left"/>
            </w:pPr>
            <w:r>
              <w:rPr>
                <w:b/>
                <w:sz w:val="16"/>
                <w:szCs w:val="16"/>
              </w:rPr>
              <w:t xml:space="preserve">6 % (extrapolé)</w:t>
            </w:r>
          </w:p>
        </w:tc>
        <w:tc>
          <w:tcPr>
            <w:tcW w:w="2300" w:type="dxa"/>
            <w:vAlign w:val="center"/>
          </w:tcPr>
          <w:p>
            <w:pPr>
              <w:spacing w:before="20" w:after="20"/>
              <w:jc w:val="right"/>
            </w:pPr>
            <w:r>
              <w:rPr>
                <w:sz w:val="16"/>
                <w:szCs w:val="16"/>
              </w:rPr>
              <w:t xml:space="preserve">356</w:t>
            </w:r>
          </w:p>
        </w:tc>
        <w:tc>
          <w:tcPr>
            <w:tcW w:w="2300" w:type="dxa"/>
            <w:vAlign w:val="center"/>
          </w:tcPr>
          <w:p>
            <w:pPr>
              <w:spacing w:before="20" w:after="20"/>
              <w:jc w:val="right"/>
            </w:pPr>
            <w:r>
              <w:rPr>
                <w:sz w:val="16"/>
                <w:szCs w:val="16"/>
              </w:rPr>
              <w:t xml:space="preserve">5 096</w:t>
            </w:r>
          </w:p>
        </w:tc>
        <w:tc>
          <w:tcPr>
            <w:tcW w:w="2900" w:type="dxa"/>
            <w:vAlign w:val="center"/>
          </w:tcPr>
          <w:p>
            <w:pPr>
              <w:spacing w:before="20" w:after="20"/>
              <w:jc w:val="right"/>
            </w:pPr>
            <w:r>
              <w:rPr>
                <w:sz w:val="16"/>
                <w:szCs w:val="16"/>
              </w:rPr>
              <w:t xml:space="preserve">+40 %</w:t>
            </w:r>
          </w:p>
        </w:tc>
      </w:tr>
      <w:tr>
        <w:trPr>
          <w:cantSplit/>
        </w:trPr>
        <w:tc>
          <w:tcPr>
            <w:tcW w:w="2400" w:type="dxa"/>
            <w:shd w:val="clear" w:color="auto" w:fill="F2F4F7"/>
            <w:vAlign w:val="center"/>
          </w:tcPr>
          <w:p>
            <w:pPr>
              <w:spacing w:before="20" w:after="20"/>
              <w:jc w:val="left"/>
            </w:pPr>
            <w:r>
              <w:rPr>
                <w:b/>
                <w:sz w:val="16"/>
                <w:szCs w:val="16"/>
              </w:rPr>
              <w:t xml:space="preserve">7 %</w:t>
            </w:r>
          </w:p>
        </w:tc>
        <w:tc>
          <w:tcPr>
            <w:tcW w:w="2300" w:type="dxa"/>
            <w:shd w:val="clear" w:color="auto" w:fill="F2F4F7"/>
            <w:vAlign w:val="center"/>
          </w:tcPr>
          <w:p>
            <w:pPr>
              <w:spacing w:before="20" w:after="20"/>
              <w:jc w:val="right"/>
            </w:pPr>
            <w:r>
              <w:rPr>
                <w:sz w:val="16"/>
                <w:szCs w:val="16"/>
              </w:rPr>
              <w:t xml:space="preserve">279</w:t>
            </w:r>
          </w:p>
        </w:tc>
        <w:tc>
          <w:tcPr>
            <w:tcW w:w="2300" w:type="dxa"/>
            <w:shd w:val="clear" w:color="auto" w:fill="F2F4F7"/>
            <w:vAlign w:val="center"/>
          </w:tcPr>
          <w:p>
            <w:pPr>
              <w:spacing w:before="20" w:after="20"/>
              <w:jc w:val="right"/>
            </w:pPr>
            <w:r>
              <w:rPr>
                <w:sz w:val="16"/>
                <w:szCs w:val="16"/>
              </w:rPr>
              <w:t xml:space="preserve">3 808</w:t>
            </w:r>
          </w:p>
        </w:tc>
        <w:tc>
          <w:tcPr>
            <w:tcW w:w="2900" w:type="dxa"/>
            <w:shd w:val="clear" w:color="auto" w:fill="F2F4F7"/>
            <w:vAlign w:val="center"/>
          </w:tcPr>
          <w:p>
            <w:pPr>
              <w:spacing w:before="20" w:after="20"/>
              <w:jc w:val="right"/>
            </w:pPr>
            <w:r>
              <w:rPr>
                <w:sz w:val="16"/>
                <w:szCs w:val="16"/>
              </w:rPr>
              <w:t xml:space="preserve">+27 %</w:t>
            </w:r>
          </w:p>
        </w:tc>
      </w:tr>
      <w:tr>
        <w:trPr>
          <w:cantSplit/>
        </w:trPr>
        <w:tc>
          <w:tcPr>
            <w:tcW w:w="2400" w:type="dxa"/>
            <w:vAlign w:val="center"/>
          </w:tcPr>
          <w:p>
            <w:pPr>
              <w:spacing w:before="20" w:after="20"/>
              <w:jc w:val="left"/>
            </w:pPr>
            <w:r>
              <w:rPr>
                <w:b/>
                <w:sz w:val="16"/>
                <w:szCs w:val="16"/>
              </w:rPr>
              <w:t xml:space="preserve">8 %</w:t>
            </w:r>
          </w:p>
        </w:tc>
        <w:tc>
          <w:tcPr>
            <w:tcW w:w="2300" w:type="dxa"/>
            <w:vAlign w:val="center"/>
          </w:tcPr>
          <w:p>
            <w:pPr>
              <w:spacing w:before="20" w:after="20"/>
              <w:jc w:val="right"/>
            </w:pPr>
            <w:r>
              <w:rPr>
                <w:sz w:val="16"/>
                <w:szCs w:val="16"/>
              </w:rPr>
              <w:t xml:space="preserve">233</w:t>
            </w:r>
          </w:p>
        </w:tc>
        <w:tc>
          <w:tcPr>
            <w:tcW w:w="2300" w:type="dxa"/>
            <w:vAlign w:val="center"/>
          </w:tcPr>
          <w:p>
            <w:pPr>
              <w:spacing w:before="20" w:after="20"/>
              <w:jc w:val="right"/>
            </w:pPr>
            <w:r>
              <w:rPr>
                <w:sz w:val="16"/>
                <w:szCs w:val="16"/>
              </w:rPr>
              <w:t xml:space="preserve">3 061</w:t>
            </w:r>
          </w:p>
        </w:tc>
        <w:tc>
          <w:tcPr>
            <w:tcW w:w="2900" w:type="dxa"/>
            <w:vAlign w:val="center"/>
          </w:tcPr>
          <w:p>
            <w:pPr>
              <w:spacing w:before="20" w:after="20"/>
              <w:jc w:val="right"/>
            </w:pPr>
            <w:r>
              <w:rPr>
                <w:sz w:val="16"/>
                <w:szCs w:val="16"/>
              </w:rPr>
              <w:t xml:space="preserve">+20 %</w:t>
            </w:r>
          </w:p>
        </w:tc>
      </w:tr>
      <w:tr>
        <w:trPr>
          <w:cantSplit/>
        </w:trPr>
        <w:tc>
          <w:tcPr>
            <w:tcW w:w="2400" w:type="dxa"/>
            <w:shd w:val="clear" w:color="auto" w:fill="F2F4F7"/>
            <w:vAlign w:val="center"/>
          </w:tcPr>
          <w:p>
            <w:pPr>
              <w:spacing w:before="20" w:after="20"/>
              <w:jc w:val="left"/>
            </w:pPr>
            <w:r>
              <w:rPr>
                <w:b/>
                <w:sz w:val="16"/>
                <w:szCs w:val="16"/>
              </w:rPr>
              <w:t xml:space="preserve">9 %</w:t>
            </w:r>
          </w:p>
        </w:tc>
        <w:tc>
          <w:tcPr>
            <w:tcW w:w="2300" w:type="dxa"/>
            <w:shd w:val="clear" w:color="auto" w:fill="F2F4F7"/>
            <w:vAlign w:val="center"/>
          </w:tcPr>
          <w:p>
            <w:pPr>
              <w:spacing w:before="20" w:after="20"/>
              <w:jc w:val="right"/>
            </w:pPr>
            <w:r>
              <w:rPr>
                <w:sz w:val="16"/>
                <w:szCs w:val="16"/>
              </w:rPr>
              <w:t xml:space="preserve">202</w:t>
            </w:r>
          </w:p>
        </w:tc>
        <w:tc>
          <w:tcPr>
            <w:tcW w:w="2300" w:type="dxa"/>
            <w:shd w:val="clear" w:color="auto" w:fill="F2F4F7"/>
            <w:vAlign w:val="center"/>
          </w:tcPr>
          <w:p>
            <w:pPr>
              <w:spacing w:before="20" w:after="20"/>
              <w:jc w:val="right"/>
            </w:pPr>
            <w:r>
              <w:rPr>
                <w:sz w:val="16"/>
                <w:szCs w:val="16"/>
              </w:rPr>
              <w:t xml:space="preserve">2 583</w:t>
            </w:r>
          </w:p>
        </w:tc>
        <w:tc>
          <w:tcPr>
            <w:tcW w:w="2900" w:type="dxa"/>
            <w:shd w:val="clear" w:color="auto" w:fill="F2F4F7"/>
            <w:vAlign w:val="center"/>
          </w:tcPr>
          <w:p>
            <w:pPr>
              <w:spacing w:before="20" w:after="20"/>
              <w:jc w:val="right"/>
            </w:pPr>
            <w:r>
              <w:rPr>
                <w:sz w:val="16"/>
                <w:szCs w:val="16"/>
              </w:rPr>
              <w:t xml:space="preserve">+15 %</w:t>
            </w:r>
          </w:p>
        </w:tc>
      </w:tr>
      <w:tr>
        <w:trPr>
          <w:cantSplit/>
        </w:trPr>
        <w:tc>
          <w:tcPr>
            <w:tcW w:w="2400" w:type="dxa"/>
            <w:vAlign w:val="center"/>
          </w:tcPr>
          <w:p>
            <w:pPr>
              <w:spacing w:before="20" w:after="20"/>
              <w:jc w:val="left"/>
            </w:pPr>
            <w:r>
              <w:rPr>
                <w:b/>
                <w:sz w:val="16"/>
                <w:szCs w:val="16"/>
              </w:rPr>
              <w:t xml:space="preserve">10 %</w:t>
            </w:r>
          </w:p>
        </w:tc>
        <w:tc>
          <w:tcPr>
            <w:tcW w:w="2300" w:type="dxa"/>
            <w:vAlign w:val="center"/>
          </w:tcPr>
          <w:p>
            <w:pPr>
              <w:spacing w:before="20" w:after="20"/>
              <w:jc w:val="right"/>
            </w:pPr>
            <w:r>
              <w:rPr>
                <w:sz w:val="16"/>
                <w:szCs w:val="16"/>
              </w:rPr>
              <w:t xml:space="preserve">181</w:t>
            </w:r>
          </w:p>
        </w:tc>
        <w:tc>
          <w:tcPr>
            <w:tcW w:w="2300" w:type="dxa"/>
            <w:vAlign w:val="center"/>
          </w:tcPr>
          <w:p>
            <w:pPr>
              <w:spacing w:before="20" w:after="20"/>
              <w:jc w:val="right"/>
            </w:pPr>
            <w:r>
              <w:rPr>
                <w:sz w:val="16"/>
                <w:szCs w:val="16"/>
              </w:rPr>
              <w:t xml:space="preserve">2 254</w:t>
            </w:r>
          </w:p>
        </w:tc>
        <w:tc>
          <w:tcPr>
            <w:tcW w:w="2900" w:type="dxa"/>
            <w:vAlign w:val="center"/>
          </w:tcPr>
          <w:p>
            <w:pPr>
              <w:spacing w:before="20" w:after="20"/>
              <w:jc w:val="right"/>
            </w:pPr>
            <w:r>
              <w:rPr>
                <w:sz w:val="16"/>
                <w:szCs w:val="16"/>
              </w:rPr>
              <w:t xml:space="preserve">+12 %</w:t>
            </w:r>
          </w:p>
        </w:tc>
      </w:tr>
      <w:tr>
        <w:trPr>
          <w:cantSplit/>
        </w:trPr>
        <w:tc>
          <w:tcPr>
            <w:tcW w:w="2400" w:type="dxa"/>
            <w:shd w:val="clear" w:color="auto" w:fill="F2F4F7"/>
            <w:vAlign w:val="center"/>
          </w:tcPr>
          <w:p>
            <w:pPr>
              <w:spacing w:before="20" w:after="20"/>
              <w:jc w:val="left"/>
            </w:pPr>
            <w:r>
              <w:rPr>
                <w:b/>
                <w:sz w:val="16"/>
                <w:szCs w:val="16"/>
              </w:rPr>
              <w:t xml:space="preserve">11 %</w:t>
            </w:r>
          </w:p>
        </w:tc>
        <w:tc>
          <w:tcPr>
            <w:tcW w:w="2300" w:type="dxa"/>
            <w:shd w:val="clear" w:color="auto" w:fill="F2F4F7"/>
            <w:vAlign w:val="center"/>
          </w:tcPr>
          <w:p>
            <w:pPr>
              <w:spacing w:before="20" w:after="20"/>
              <w:jc w:val="right"/>
            </w:pPr>
            <w:r>
              <w:rPr>
                <w:sz w:val="16"/>
                <w:szCs w:val="16"/>
              </w:rPr>
              <w:t xml:space="preserve">165</w:t>
            </w:r>
          </w:p>
        </w:tc>
        <w:tc>
          <w:tcPr>
            <w:tcW w:w="2300" w:type="dxa"/>
            <w:shd w:val="clear" w:color="auto" w:fill="F2F4F7"/>
            <w:vAlign w:val="center"/>
          </w:tcPr>
          <w:p>
            <w:pPr>
              <w:spacing w:before="20" w:after="20"/>
              <w:jc w:val="right"/>
            </w:pPr>
            <w:r>
              <w:rPr>
                <w:sz w:val="16"/>
                <w:szCs w:val="16"/>
              </w:rPr>
              <w:t xml:space="preserve">2 017</w:t>
            </w:r>
          </w:p>
        </w:tc>
        <w:tc>
          <w:tcPr>
            <w:tcW w:w="2900" w:type="dxa"/>
            <w:shd w:val="clear" w:color="auto" w:fill="F2F4F7"/>
            <w:vAlign w:val="center"/>
          </w:tcPr>
          <w:p>
            <w:pPr>
              <w:spacing w:before="20" w:after="20"/>
              <w:jc w:val="right"/>
            </w:pPr>
            <w:r>
              <w:rPr>
                <w:sz w:val="16"/>
                <w:szCs w:val="16"/>
              </w:rPr>
              <w:t xml:space="preserve">+10 %</w:t>
            </w:r>
          </w:p>
        </w:tc>
      </w:tr>
      <w:tr>
        <w:trPr>
          <w:cantSplit/>
        </w:trPr>
        <w:tc>
          <w:tcPr>
            <w:tcW w:w="2400" w:type="dxa"/>
            <w:vAlign w:val="center"/>
          </w:tcPr>
          <w:p>
            <w:pPr>
              <w:spacing w:before="20" w:after="20"/>
              <w:jc w:val="left"/>
            </w:pPr>
            <w:r>
              <w:rPr>
                <w:b/>
                <w:sz w:val="16"/>
                <w:szCs w:val="16"/>
              </w:rPr>
              <w:t xml:space="preserve">12 %</w:t>
            </w:r>
          </w:p>
        </w:tc>
        <w:tc>
          <w:tcPr>
            <w:tcW w:w="2300" w:type="dxa"/>
            <w:vAlign w:val="center"/>
          </w:tcPr>
          <w:p>
            <w:pPr>
              <w:spacing w:before="20" w:after="20"/>
              <w:jc w:val="right"/>
            </w:pPr>
            <w:r>
              <w:rPr>
                <w:sz w:val="16"/>
                <w:szCs w:val="16"/>
              </w:rPr>
              <w:t xml:space="preserve">152</w:t>
            </w:r>
          </w:p>
        </w:tc>
        <w:tc>
          <w:tcPr>
            <w:tcW w:w="2300" w:type="dxa"/>
            <w:vAlign w:val="center"/>
          </w:tcPr>
          <w:p>
            <w:pPr>
              <w:spacing w:before="20" w:after="20"/>
              <w:jc w:val="right"/>
            </w:pPr>
            <w:r>
              <w:rPr>
                <w:sz w:val="16"/>
                <w:szCs w:val="16"/>
              </w:rPr>
              <w:t xml:space="preserve">1 839</w:t>
            </w:r>
          </w:p>
        </w:tc>
        <w:tc>
          <w:tcPr>
            <w:tcW w:w="2900" w:type="dxa"/>
            <w:vAlign w:val="center"/>
          </w:tcPr>
          <w:p>
            <w:pPr>
              <w:spacing w:before="20" w:after="20"/>
              <w:jc w:val="right"/>
            </w:pPr>
            <w:r>
              <w:rPr>
                <w:sz w:val="16"/>
                <w:szCs w:val="16"/>
              </w:rPr>
              <w:t xml:space="preserve">+8 %</w:t>
            </w:r>
          </w:p>
        </w:tc>
      </w:tr>
      <w:tr>
        <w:trPr>
          <w:cantSplit/>
        </w:trPr>
        <w:tc>
          <w:tcPr>
            <w:tcW w:w="2400" w:type="dxa"/>
            <w:shd w:val="clear" w:color="auto" w:fill="F2F4F7"/>
            <w:vAlign w:val="center"/>
          </w:tcPr>
          <w:p>
            <w:pPr>
              <w:spacing w:before="20" w:after="20"/>
              <w:jc w:val="left"/>
            </w:pPr>
            <w:r>
              <w:rPr>
                <w:b/>
                <w:sz w:val="16"/>
                <w:szCs w:val="16"/>
              </w:rPr>
              <w:t xml:space="preserve">13 %</w:t>
            </w:r>
          </w:p>
        </w:tc>
        <w:tc>
          <w:tcPr>
            <w:tcW w:w="2300" w:type="dxa"/>
            <w:shd w:val="clear" w:color="auto" w:fill="F2F4F7"/>
            <w:vAlign w:val="center"/>
          </w:tcPr>
          <w:p>
            <w:pPr>
              <w:spacing w:before="20" w:after="20"/>
              <w:jc w:val="right"/>
            </w:pPr>
            <w:r>
              <w:rPr>
                <w:sz w:val="16"/>
                <w:szCs w:val="16"/>
              </w:rPr>
              <w:t xml:space="preserve">143</w:t>
            </w:r>
          </w:p>
        </w:tc>
        <w:tc>
          <w:tcPr>
            <w:tcW w:w="2300" w:type="dxa"/>
            <w:shd w:val="clear" w:color="auto" w:fill="F2F4F7"/>
            <w:vAlign w:val="center"/>
          </w:tcPr>
          <w:p>
            <w:pPr>
              <w:spacing w:before="20" w:after="20"/>
              <w:jc w:val="right"/>
            </w:pPr>
            <w:r>
              <w:rPr>
                <w:sz w:val="16"/>
                <w:szCs w:val="16"/>
              </w:rPr>
              <w:t xml:space="preserve">1 700</w:t>
            </w:r>
          </w:p>
        </w:tc>
        <w:tc>
          <w:tcPr>
            <w:tcW w:w="2900" w:type="dxa"/>
            <w:shd w:val="clear" w:color="auto" w:fill="F2F4F7"/>
            <w:vAlign w:val="center"/>
          </w:tcPr>
          <w:p>
            <w:pPr>
              <w:spacing w:before="20" w:after="20"/>
              <w:jc w:val="right"/>
            </w:pPr>
            <w:r>
              <w:rPr>
                <w:sz w:val="16"/>
                <w:szCs w:val="16"/>
              </w:rPr>
              <w:t xml:space="preserve">+7 %</w:t>
            </w:r>
          </w:p>
        </w:tc>
      </w:tr>
      <w:tr>
        <w:trPr>
          <w:cantSplit/>
        </w:trPr>
        <w:tc>
          <w:tcPr>
            <w:tcW w:w="2400" w:type="dxa"/>
            <w:vAlign w:val="center"/>
          </w:tcPr>
          <w:p>
            <w:pPr>
              <w:spacing w:before="20" w:after="20"/>
              <w:jc w:val="left"/>
            </w:pPr>
            <w:r>
              <w:rPr>
                <w:b/>
                <w:sz w:val="16"/>
                <w:szCs w:val="16"/>
              </w:rPr>
              <w:t xml:space="preserve">14 %</w:t>
            </w:r>
          </w:p>
        </w:tc>
        <w:tc>
          <w:tcPr>
            <w:tcW w:w="2300" w:type="dxa"/>
            <w:vAlign w:val="center"/>
          </w:tcPr>
          <w:p>
            <w:pPr>
              <w:spacing w:before="20" w:after="20"/>
              <w:jc w:val="right"/>
            </w:pPr>
            <w:r>
              <w:rPr>
                <w:sz w:val="16"/>
                <w:szCs w:val="16"/>
              </w:rPr>
              <w:t xml:space="preserve">135</w:t>
            </w:r>
          </w:p>
        </w:tc>
        <w:tc>
          <w:tcPr>
            <w:tcW w:w="2300" w:type="dxa"/>
            <w:vAlign w:val="center"/>
          </w:tcPr>
          <w:p>
            <w:pPr>
              <w:spacing w:before="20" w:after="20"/>
              <w:jc w:val="right"/>
            </w:pPr>
            <w:r>
              <w:rPr>
                <w:sz w:val="16"/>
                <w:szCs w:val="16"/>
              </w:rPr>
              <w:t xml:space="preserve">1 589</w:t>
            </w:r>
          </w:p>
        </w:tc>
        <w:tc>
          <w:tcPr>
            <w:tcW w:w="2900" w:type="dxa"/>
            <w:vAlign w:val="center"/>
          </w:tcPr>
          <w:p>
            <w:pPr>
              <w:spacing w:before="20" w:after="20"/>
              <w:jc w:val="right"/>
            </w:pPr>
            <w:r>
              <w:rPr>
                <w:sz w:val="16"/>
                <w:szCs w:val="16"/>
              </w:rPr>
              <w:t xml:space="preserve">+6 %</w:t>
            </w:r>
          </w:p>
        </w:tc>
      </w:tr>
      <w:tr>
        <w:trPr>
          <w:cantSplit/>
        </w:trPr>
        <w:tc>
          <w:tcPr>
            <w:tcW w:w="2400" w:type="dxa"/>
            <w:shd w:val="clear" w:color="auto" w:fill="F2F4F7"/>
            <w:vAlign w:val="center"/>
          </w:tcPr>
          <w:p>
            <w:pPr>
              <w:spacing w:before="20" w:after="20"/>
              <w:jc w:val="left"/>
            </w:pPr>
            <w:r>
              <w:rPr>
                <w:b/>
                <w:sz w:val="16"/>
                <w:szCs w:val="16"/>
              </w:rPr>
              <w:t xml:space="preserve">15 %</w:t>
            </w:r>
          </w:p>
        </w:tc>
        <w:tc>
          <w:tcPr>
            <w:tcW w:w="2300" w:type="dxa"/>
            <w:shd w:val="clear" w:color="auto" w:fill="F2F4F7"/>
            <w:vAlign w:val="center"/>
          </w:tcPr>
          <w:p>
            <w:pPr>
              <w:spacing w:before="20" w:after="20"/>
              <w:jc w:val="right"/>
            </w:pPr>
            <w:r>
              <w:rPr>
                <w:sz w:val="16"/>
                <w:szCs w:val="16"/>
              </w:rPr>
              <w:t xml:space="preserve">129</w:t>
            </w:r>
          </w:p>
        </w:tc>
        <w:tc>
          <w:tcPr>
            <w:tcW w:w="2300" w:type="dxa"/>
            <w:shd w:val="clear" w:color="auto" w:fill="F2F4F7"/>
            <w:vAlign w:val="center"/>
          </w:tcPr>
          <w:p>
            <w:pPr>
              <w:spacing w:before="20" w:after="20"/>
              <w:jc w:val="right"/>
            </w:pPr>
            <w:r>
              <w:rPr>
                <w:sz w:val="16"/>
                <w:szCs w:val="16"/>
              </w:rPr>
              <w:t xml:space="preserve">1 499</w:t>
            </w:r>
          </w:p>
        </w:tc>
        <w:tc>
          <w:tcPr>
            <w:tcW w:w="2900" w:type="dxa"/>
            <w:shd w:val="clear" w:color="auto" w:fill="F2F4F7"/>
            <w:vAlign w:val="center"/>
          </w:tcPr>
          <w:p>
            <w:pPr>
              <w:spacing w:before="20" w:after="20"/>
              <w:jc w:val="right"/>
            </w:pPr>
            <w:r>
              <w:rPr>
                <w:sz w:val="16"/>
                <w:szCs w:val="16"/>
              </w:rPr>
              <w:t xml:space="preserve">+5 %</w:t>
            </w:r>
          </w:p>
        </w:tc>
      </w:tr>
      <w:tr>
        <w:trPr>
          <w:cantSplit/>
        </w:trPr>
        <w:tc>
          <w:tcPr>
            <w:tcW w:w="2400" w:type="dxa"/>
            <w:vAlign w:val="center"/>
          </w:tcPr>
          <w:p>
            <w:pPr>
              <w:spacing w:before="20" w:after="20"/>
              <w:jc w:val="left"/>
            </w:pPr>
            <w:r>
              <w:rPr>
                <w:b/>
                <w:sz w:val="16"/>
                <w:szCs w:val="16"/>
              </w:rPr>
              <w:t xml:space="preserve">16 %</w:t>
            </w:r>
          </w:p>
        </w:tc>
        <w:tc>
          <w:tcPr>
            <w:tcW w:w="2300" w:type="dxa"/>
            <w:vAlign w:val="center"/>
          </w:tcPr>
          <w:p>
            <w:pPr>
              <w:spacing w:before="20" w:after="20"/>
              <w:jc w:val="right"/>
            </w:pPr>
            <w:r>
              <w:rPr>
                <w:sz w:val="16"/>
                <w:szCs w:val="16"/>
              </w:rPr>
              <w:t xml:space="preserve">123</w:t>
            </w:r>
          </w:p>
        </w:tc>
        <w:tc>
          <w:tcPr>
            <w:tcW w:w="2300" w:type="dxa"/>
            <w:vAlign w:val="center"/>
          </w:tcPr>
          <w:p>
            <w:pPr>
              <w:spacing w:before="20" w:after="20"/>
              <w:jc w:val="right"/>
            </w:pPr>
            <w:r>
              <w:rPr>
                <w:sz w:val="16"/>
                <w:szCs w:val="16"/>
              </w:rPr>
              <w:t xml:space="preserve">1 425</w:t>
            </w:r>
          </w:p>
        </w:tc>
        <w:tc>
          <w:tcPr>
            <w:tcW w:w="2900" w:type="dxa"/>
            <w:vAlign w:val="center"/>
          </w:tcPr>
          <w:p>
            <w:pPr>
              <w:spacing w:before="20" w:after="20"/>
              <w:jc w:val="right"/>
            </w:pPr>
            <w:r>
              <w:rPr>
                <w:sz w:val="16"/>
                <w:szCs w:val="16"/>
              </w:rPr>
              <w:t xml:space="preserve">+4 %</w:t>
            </w:r>
          </w:p>
        </w:tc>
      </w:tr>
    </w:tbl>
    <w:p>
      <w:pPr>
        <w:spacing w:after="60"/>
      </w:pPr>
      <w:r>
        <w:t xml:space="preserve"/>
      </w:r>
    </w:p>
    <w:p>
      <w:pPr>
        <w:pStyle w:val="Note"/>
      </w:pPr>
      <w:r>
        <w:t xml:space="preserve">Zone à ±1 écart-type : de −22 % à +28 % autour de la courbe pour le KC, de −18 % à +22 % pour le DF. Le STU le plus bas observé est 6,9 % : en dessous, la courbe extrapole. L'effet de −1 point dépend de la forme choisie : il n'a pas été mesuré sur des chocs réels.</w:t>
      </w:r>
    </w:p>
    <w:p>
      <w:pPr>
        <w:pStyle w:val="Heading2"/>
        <w:keepNext/>
      </w:pPr>
      <w:r>
        <w:t xml:space="preserve">Régimes observés depuis 2010</w:t>
      </w:r>
    </w:p>
    <w:tbl>
      <w:tblPr>
        <w:tblStyle w:val="Grille"/>
        <w:tblW w:w="99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1500"/>
        <w:gridCol w:w="4200"/>
        <w:gridCol w:w="1300"/>
        <w:gridCol w:w="1600"/>
        <w:gridCol w:w="1300"/>
      </w:tblGrid>
      <w:tr>
        <w:trPr>
          <w:tblHeader/>
        </w:trPr>
        <w:tc>
          <w:tcPr>
            <w:tcW w:w="1500" w:type="dxa"/>
            <w:shd w:val="clear" w:color="auto" w:fill="1F3864"/>
            <w:vAlign w:val="center"/>
          </w:tcPr>
          <w:p>
            <w:pPr>
              <w:spacing w:before="20" w:after="20"/>
              <w:jc w:val="center"/>
            </w:pPr>
            <w:r>
              <w:rPr>
                <w:b/>
                <w:color w:val="FFFFFF"/>
                <w:sz w:val="16"/>
                <w:szCs w:val="16"/>
              </w:rPr>
              <w:t xml:space="preserve">STU mondial</w:t>
            </w:r>
          </w:p>
        </w:tc>
        <w:tc>
          <w:tcPr>
            <w:tcW w:w="4200" w:type="dxa"/>
            <w:shd w:val="clear" w:color="auto" w:fill="1F3864"/>
            <w:vAlign w:val="center"/>
          </w:tcPr>
          <w:p>
            <w:pPr>
              <w:spacing w:before="20" w:after="20"/>
              <w:jc w:val="center"/>
            </w:pPr>
            <w:r>
              <w:rPr>
                <w:b/>
                <w:color w:val="FFFFFF"/>
                <w:sz w:val="16"/>
                <w:szCs w:val="16"/>
              </w:rPr>
              <w:t xml:space="preserve">Campagnes</w:t>
            </w:r>
          </w:p>
        </w:tc>
        <w:tc>
          <w:tcPr>
            <w:tcW w:w="1300" w:type="dxa"/>
            <w:shd w:val="clear" w:color="auto" w:fill="1F3864"/>
            <w:vAlign w:val="center"/>
          </w:tcPr>
          <w:p>
            <w:pPr>
              <w:spacing w:before="20" w:after="20"/>
              <w:jc w:val="center"/>
            </w:pPr>
            <w:r>
              <w:rPr>
                <w:b/>
                <w:color w:val="FFFFFF"/>
                <w:sz w:val="16"/>
                <w:szCs w:val="16"/>
              </w:rPr>
              <w:t xml:space="preserve">KC1 moyen</w:t>
            </w:r>
          </w:p>
        </w:tc>
        <w:tc>
          <w:tcPr>
            <w:tcW w:w="1600" w:type="dxa"/>
            <w:shd w:val="clear" w:color="auto" w:fill="1F3864"/>
            <w:vAlign w:val="center"/>
          </w:tcPr>
          <w:p>
            <w:pPr>
              <w:spacing w:before="20" w:after="20"/>
              <w:jc w:val="center"/>
            </w:pPr>
            <w:r>
              <w:rPr>
                <w:b/>
                <w:color w:val="FFFFFF"/>
                <w:sz w:val="16"/>
                <w:szCs w:val="16"/>
              </w:rPr>
              <w:t xml:space="preserve">KC1 min – max</w:t>
            </w:r>
          </w:p>
        </w:tc>
        <w:tc>
          <w:tcPr>
            <w:tcW w:w="1300" w:type="dxa"/>
            <w:shd w:val="clear" w:color="auto" w:fill="1F3864"/>
            <w:vAlign w:val="center"/>
          </w:tcPr>
          <w:p>
            <w:pPr>
              <w:spacing w:before="20" w:after="20"/>
              <w:jc w:val="center"/>
            </w:pPr>
            <w:r>
              <w:rPr>
                <w:b/>
                <w:color w:val="FFFFFF"/>
                <w:sz w:val="16"/>
                <w:szCs w:val="16"/>
              </w:rPr>
              <w:t xml:space="preserve">DF1 moyen ($/t)</w:t>
            </w:r>
          </w:p>
        </w:tc>
      </w:tr>
      <w:tr>
        <w:trPr>
          <w:cantSplit/>
        </w:trPr>
        <w:tc>
          <w:tcPr>
            <w:tcW w:w="1500" w:type="dxa"/>
            <w:vAlign w:val="center"/>
          </w:tcPr>
          <w:p>
            <w:pPr>
              <w:spacing w:before="20" w:after="20"/>
              <w:jc w:val="left"/>
            </w:pPr>
            <w:r>
              <w:rPr>
                <w:b/>
                <w:sz w:val="16"/>
                <w:szCs w:val="16"/>
              </w:rPr>
              <w:t xml:space="preserve">&lt; 8 %</w:t>
            </w:r>
          </w:p>
        </w:tc>
        <w:tc>
          <w:tcPr>
            <w:tcW w:w="4200" w:type="dxa"/>
            <w:vAlign w:val="center"/>
          </w:tcPr>
          <w:p>
            <w:pPr>
              <w:spacing w:before="20" w:after="20"/>
              <w:jc w:val="right"/>
            </w:pPr>
            <w:r>
              <w:rPr>
                <w:sz w:val="16"/>
                <w:szCs w:val="16"/>
              </w:rPr>
              <w:t xml:space="preserve">2023/24, 2024/25, 2025/26</w:t>
            </w:r>
          </w:p>
        </w:tc>
        <w:tc>
          <w:tcPr>
            <w:tcW w:w="1300" w:type="dxa"/>
            <w:vAlign w:val="center"/>
          </w:tcPr>
          <w:p>
            <w:pPr>
              <w:spacing w:before="20" w:after="20"/>
              <w:jc w:val="right"/>
            </w:pPr>
            <w:r>
              <w:rPr>
                <w:sz w:val="16"/>
                <w:szCs w:val="16"/>
              </w:rPr>
              <w:t xml:space="preserve">283</w:t>
            </w:r>
          </w:p>
        </w:tc>
        <w:tc>
          <w:tcPr>
            <w:tcW w:w="1600" w:type="dxa"/>
            <w:vAlign w:val="center"/>
          </w:tcPr>
          <w:p>
            <w:pPr>
              <w:spacing w:before="20" w:after="20"/>
              <w:jc w:val="right"/>
            </w:pPr>
            <w:r>
              <w:rPr>
                <w:sz w:val="16"/>
                <w:szCs w:val="16"/>
              </w:rPr>
              <w:t xml:space="preserve">204 – 333</w:t>
            </w:r>
          </w:p>
        </w:tc>
        <w:tc>
          <w:tcPr>
            <w:tcW w:w="1300" w:type="dxa"/>
            <w:vAlign w:val="center"/>
          </w:tcPr>
          <w:p>
            <w:pPr>
              <w:spacing w:before="20" w:after="20"/>
              <w:jc w:val="right"/>
            </w:pPr>
            <w:r>
              <w:rPr>
                <w:sz w:val="16"/>
                <w:szCs w:val="16"/>
              </w:rPr>
              <w:t xml:space="preserve">3 998</w:t>
            </w:r>
          </w:p>
        </w:tc>
      </w:tr>
      <w:tr>
        <w:trPr>
          <w:cantSplit/>
        </w:trPr>
        <w:tc>
          <w:tcPr>
            <w:tcW w:w="1500" w:type="dxa"/>
            <w:shd w:val="clear" w:color="auto" w:fill="F2F4F7"/>
            <w:vAlign w:val="center"/>
          </w:tcPr>
          <w:p>
            <w:pPr>
              <w:spacing w:before="20" w:after="20"/>
              <w:jc w:val="left"/>
            </w:pPr>
            <w:r>
              <w:rPr>
                <w:b/>
                <w:sz w:val="16"/>
                <w:szCs w:val="16"/>
              </w:rPr>
              <w:t xml:space="preserve">8 – 11 %</w:t>
            </w:r>
          </w:p>
        </w:tc>
        <w:tc>
          <w:tcPr>
            <w:tcW w:w="4200" w:type="dxa"/>
            <w:shd w:val="clear" w:color="auto" w:fill="F2F4F7"/>
            <w:vAlign w:val="center"/>
          </w:tcPr>
          <w:p>
            <w:pPr>
              <w:spacing w:before="20" w:after="20"/>
              <w:jc w:val="right"/>
            </w:pPr>
            <w:r>
              <w:rPr>
                <w:sz w:val="16"/>
                <w:szCs w:val="16"/>
              </w:rPr>
              <w:t xml:space="preserve">2011/12, 2017/18, 2021/22, 2022/23</w:t>
            </w:r>
          </w:p>
        </w:tc>
        <w:tc>
          <w:tcPr>
            <w:tcW w:w="1300" w:type="dxa"/>
            <w:shd w:val="clear" w:color="auto" w:fill="F2F4F7"/>
            <w:vAlign w:val="center"/>
          </w:tcPr>
          <w:p>
            <w:pPr>
              <w:spacing w:before="20" w:after="20"/>
              <w:jc w:val="right"/>
            </w:pPr>
            <w:r>
              <w:rPr>
                <w:sz w:val="16"/>
                <w:szCs w:val="16"/>
              </w:rPr>
              <w:t xml:space="preserve">178</w:t>
            </w:r>
          </w:p>
        </w:tc>
        <w:tc>
          <w:tcPr>
            <w:tcW w:w="1600" w:type="dxa"/>
            <w:shd w:val="clear" w:color="auto" w:fill="F2F4F7"/>
            <w:vAlign w:val="center"/>
          </w:tcPr>
          <w:p>
            <w:pPr>
              <w:spacing w:before="20" w:after="20"/>
              <w:jc w:val="right"/>
            </w:pPr>
            <w:r>
              <w:rPr>
                <w:sz w:val="16"/>
                <w:szCs w:val="16"/>
              </w:rPr>
              <w:t xml:space="preserve">121 – 224</w:t>
            </w:r>
          </w:p>
        </w:tc>
        <w:tc>
          <w:tcPr>
            <w:tcW w:w="1300" w:type="dxa"/>
            <w:shd w:val="clear" w:color="auto" w:fill="F2F4F7"/>
            <w:vAlign w:val="center"/>
          </w:tcPr>
          <w:p>
            <w:pPr>
              <w:spacing w:before="20" w:after="20"/>
              <w:jc w:val="right"/>
            </w:pPr>
            <w:r>
              <w:rPr>
                <w:sz w:val="16"/>
                <w:szCs w:val="16"/>
              </w:rPr>
              <w:t xml:space="preserve">2 027</w:t>
            </w:r>
          </w:p>
        </w:tc>
      </w:tr>
      <w:tr>
        <w:trPr>
          <w:cantSplit/>
        </w:trPr>
        <w:tc>
          <w:tcPr>
            <w:tcW w:w="1500" w:type="dxa"/>
            <w:vAlign w:val="center"/>
          </w:tcPr>
          <w:p>
            <w:pPr>
              <w:spacing w:before="20" w:after="20"/>
              <w:jc w:val="left"/>
            </w:pPr>
            <w:r>
              <w:rPr>
                <w:b/>
                <w:sz w:val="16"/>
                <w:szCs w:val="16"/>
              </w:rPr>
              <w:t xml:space="preserve">11 – 13 %</w:t>
            </w:r>
          </w:p>
        </w:tc>
        <w:tc>
          <w:tcPr>
            <w:tcW w:w="4200" w:type="dxa"/>
            <w:vAlign w:val="center"/>
          </w:tcPr>
          <w:p>
            <w:pPr>
              <w:spacing w:before="20" w:after="20"/>
              <w:jc w:val="right"/>
            </w:pPr>
            <w:r>
              <w:rPr>
                <w:sz w:val="16"/>
                <w:szCs w:val="16"/>
              </w:rPr>
              <w:t xml:space="preserve">2010/11, 2015/16, 2016/17, 2018/19, 2019/20, 2020/21</w:t>
            </w:r>
          </w:p>
        </w:tc>
        <w:tc>
          <w:tcPr>
            <w:tcW w:w="1300" w:type="dxa"/>
            <w:vAlign w:val="center"/>
          </w:tcPr>
          <w:p>
            <w:pPr>
              <w:spacing w:before="20" w:after="20"/>
              <w:jc w:val="right"/>
            </w:pPr>
            <w:r>
              <w:rPr>
                <w:sz w:val="16"/>
                <w:szCs w:val="16"/>
              </w:rPr>
              <w:t xml:space="preserve">148</w:t>
            </w:r>
          </w:p>
        </w:tc>
        <w:tc>
          <w:tcPr>
            <w:tcW w:w="1600" w:type="dxa"/>
            <w:vAlign w:val="center"/>
          </w:tcPr>
          <w:p>
            <w:pPr>
              <w:spacing w:before="20" w:after="20"/>
              <w:jc w:val="right"/>
            </w:pPr>
            <w:r>
              <w:rPr>
                <w:sz w:val="16"/>
                <w:szCs w:val="16"/>
              </w:rPr>
              <w:t xml:space="preserve">105 – 250</w:t>
            </w:r>
          </w:p>
        </w:tc>
        <w:tc>
          <w:tcPr>
            <w:tcW w:w="1300" w:type="dxa"/>
            <w:vAlign w:val="center"/>
          </w:tcPr>
          <w:p>
            <w:pPr>
              <w:spacing w:before="20" w:after="20"/>
              <w:jc w:val="right"/>
            </w:pPr>
            <w:r>
              <w:rPr>
                <w:sz w:val="16"/>
                <w:szCs w:val="16"/>
              </w:rPr>
              <w:t xml:space="preserve">1 714</w:t>
            </w:r>
          </w:p>
        </w:tc>
      </w:tr>
      <w:tr>
        <w:trPr>
          <w:cantSplit/>
        </w:trPr>
        <w:tc>
          <w:tcPr>
            <w:tcW w:w="1500" w:type="dxa"/>
            <w:shd w:val="clear" w:color="auto" w:fill="F2F4F7"/>
            <w:vAlign w:val="center"/>
          </w:tcPr>
          <w:p>
            <w:pPr>
              <w:spacing w:before="20" w:after="20"/>
              <w:jc w:val="left"/>
            </w:pPr>
            <w:r>
              <w:rPr>
                <w:b/>
                <w:sz w:val="16"/>
                <w:szCs w:val="16"/>
              </w:rPr>
              <w:t xml:space="preserve">&gt; 13 %</w:t>
            </w:r>
          </w:p>
        </w:tc>
        <w:tc>
          <w:tcPr>
            <w:tcW w:w="4200" w:type="dxa"/>
            <w:shd w:val="clear" w:color="auto" w:fill="F2F4F7"/>
            <w:vAlign w:val="center"/>
          </w:tcPr>
          <w:p>
            <w:pPr>
              <w:spacing w:before="20" w:after="20"/>
              <w:jc w:val="right"/>
            </w:pPr>
            <w:r>
              <w:rPr>
                <w:sz w:val="16"/>
                <w:szCs w:val="16"/>
              </w:rPr>
              <w:t xml:space="preserve">2012/13, 2013/14, 2014/15</w:t>
            </w:r>
          </w:p>
        </w:tc>
        <w:tc>
          <w:tcPr>
            <w:tcW w:w="1300" w:type="dxa"/>
            <w:shd w:val="clear" w:color="auto" w:fill="F2F4F7"/>
            <w:vAlign w:val="center"/>
          </w:tcPr>
          <w:p>
            <w:pPr>
              <w:spacing w:before="20" w:after="20"/>
              <w:jc w:val="right"/>
            </w:pPr>
            <w:r>
              <w:rPr>
                <w:sz w:val="16"/>
                <w:szCs w:val="16"/>
              </w:rPr>
              <w:t xml:space="preserve">152</w:t>
            </w:r>
          </w:p>
        </w:tc>
        <w:tc>
          <w:tcPr>
            <w:tcW w:w="1600" w:type="dxa"/>
            <w:shd w:val="clear" w:color="auto" w:fill="F2F4F7"/>
            <w:vAlign w:val="center"/>
          </w:tcPr>
          <w:p>
            <w:pPr>
              <w:spacing w:before="20" w:after="20"/>
              <w:jc w:val="right"/>
            </w:pPr>
            <w:r>
              <w:rPr>
                <w:sz w:val="16"/>
                <w:szCs w:val="16"/>
              </w:rPr>
              <w:t xml:space="preserve">141 – 161</w:t>
            </w:r>
          </w:p>
        </w:tc>
        <w:tc>
          <w:tcPr>
            <w:tcW w:w="1300" w:type="dxa"/>
            <w:shd w:val="clear" w:color="auto" w:fill="F2F4F7"/>
            <w:vAlign w:val="center"/>
          </w:tcPr>
          <w:p>
            <w:pPr>
              <w:spacing w:before="20" w:after="20"/>
              <w:jc w:val="right"/>
            </w:pPr>
            <w:r>
              <w:rPr>
                <w:sz w:val="16"/>
                <w:szCs w:val="16"/>
              </w:rPr>
              <w:t xml:space="preserve">1 898</w:t>
            </w:r>
          </w:p>
        </w:tc>
      </w:tr>
    </w:tbl>
    <w:p>
      <w:pPr>
        <w:spacing w:after="60"/>
      </w:pPr>
      <w:r>
        <w:t xml:space="preserve"/>
      </w:r>
    </w:p>
    <w:p>
      <w:r>
        <w:t xml:space="preserve">Sous 8 %, prix environ deux fois plus hauts qu'au-dessus de 11 % ; mais c'est un seul épisode, trois campagnes consécutives. Entre 8 et 11 %, un choc météo peut faire flamber le prix (gel 2021 : KC +56 %) ; sans choc, il retombe. Au-dessus de 11 %, le KC est resté entre 105 et 161 c/lb, sauf en 2010/11 (STU 11,3 % mais KC 250 c/lb). Explication possible : la récolte colombienne était tombée à 8,5 M sacs, contre 12 à 14 M les années normales ; le real fort est une autre piste, non mesurée ici.</w:t>
      </w:r>
    </w:p>
    <w:p>
      <w:pPr>
        <w:pStyle w:val="Figure"/>
        <w:keepNext/>
      </w:pPr>
      <w:r>
        <w:drawing>
          <wp:inline distT="0" distB="0" distL="0" distR="0">
            <wp:extent cx="5940000" cy="2706254"/>
            <wp:docPr id="11" name="Graphique 11"/>
            <wp:cNvGraphicFramePr>
              <a:graphicFrameLocks noChangeAspect="1"/>
            </wp:cNvGraphicFramePr>
            <a:graphic>
              <a:graphicData uri="http://schemas.openxmlformats.org/drawingml/2006/picture">
                <pic:pic>
                  <pic:nvPicPr>
                    <pic:cNvPr id="11" name="graphique11.png"/>
                    <pic:cNvPicPr/>
                  </pic:nvPicPr>
                  <pic:blipFill>
                    <a:blip r:embed="rIdImg11"/>
                    <a:stretch>
                      <a:fillRect/>
                    </a:stretch>
                  </pic:blipFill>
                  <pic:spPr>
                    <a:xfrm>
                      <a:off x="0" y="0"/>
                      <a:ext cx="5940000" cy="2706254"/>
                    </a:xfrm>
                    <a:prstGeom prst="rect">
                      <a:avLst/>
                    </a:prstGeom>
                  </pic:spPr>
                </pic:pic>
              </a:graphicData>
            </a:graphic>
          </wp:inline>
        </w:drawing>
      </w:r>
    </w:p>
    <w:p>
      <w:pPr>
        <w:pStyle w:val="Caption"/>
      </w:pPr>
      <w:r>
        <w:t xml:space="preserve">Graphique 11 — DF1 selon le STU mondial et courbe ajustée.</w:t>
      </w:r>
    </w:p>
    <w:p>
      <w:r>
        <w:br w:type="page"/>
      </w:r>
    </w:p>
    <w:p>
      <w:pPr>
        <w:pStyle w:val="Heading1"/>
        <w:keepNext/>
      </w:pPr>
      <w:r>
        <w:t xml:space="preserve">5. À quoi réagit le prix : production, stocks de fin, stocks certifiés</w:t>
      </w:r>
    </w:p>
    <w:p>
      <w:pPr>
        <w:pStyle w:val="Heading2"/>
        <w:keepNext/>
      </w:pPr>
      <w:r>
        <w:t xml:space="preserve">Réaction en niveau</w:t>
      </w:r>
    </w:p>
    <w:tbl>
      <w:tblPr>
        <w:tblStyle w:val="Grille"/>
        <w:tblW w:w="99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3000"/>
        <w:gridCol w:w="700"/>
        <w:gridCol w:w="1100"/>
        <w:gridCol w:w="1200"/>
        <w:gridCol w:w="1300"/>
        <w:gridCol w:w="1300"/>
        <w:gridCol w:w="1300"/>
      </w:tblGrid>
      <w:tr>
        <w:trPr>
          <w:tblHeader/>
        </w:trPr>
        <w:tc>
          <w:tcPr>
            <w:tcW w:w="3000" w:type="dxa"/>
            <w:shd w:val="clear" w:color="auto" w:fill="1F3864"/>
            <w:vAlign w:val="center"/>
          </w:tcPr>
          <w:p>
            <w:pPr>
              <w:spacing w:before="20" w:after="20"/>
              <w:jc w:val="center"/>
            </w:pPr>
            <w:r>
              <w:rPr>
                <w:b/>
                <w:color w:val="FFFFFF"/>
                <w:sz w:val="16"/>
                <w:szCs w:val="16"/>
              </w:rPr>
              <w:t xml:space="preserve">Mesure</w:t>
            </w:r>
          </w:p>
        </w:tc>
        <w:tc>
          <w:tcPr>
            <w:tcW w:w="700" w:type="dxa"/>
            <w:shd w:val="clear" w:color="auto" w:fill="1F3864"/>
            <w:vAlign w:val="center"/>
          </w:tcPr>
          <w:p>
            <w:pPr>
              <w:spacing w:before="20" w:after="20"/>
              <w:jc w:val="center"/>
            </w:pPr>
            <w:r>
              <w:rPr>
                <w:b/>
                <w:color w:val="FFFFFF"/>
                <w:sz w:val="16"/>
                <w:szCs w:val="16"/>
              </w:rPr>
              <w:t xml:space="preserve">Prix</w:t>
            </w:r>
          </w:p>
        </w:tc>
        <w:tc>
          <w:tcPr>
            <w:tcW w:w="1100" w:type="dxa"/>
            <w:shd w:val="clear" w:color="auto" w:fill="1F3864"/>
            <w:vAlign w:val="center"/>
          </w:tcPr>
          <w:p>
            <w:pPr>
              <w:spacing w:before="20" w:after="20"/>
              <w:jc w:val="center"/>
            </w:pPr>
            <w:r>
              <w:rPr>
                <w:b/>
                <w:color w:val="FFFFFF"/>
                <w:sz w:val="16"/>
                <w:szCs w:val="16"/>
              </w:rPr>
              <w:t xml:space="preserve">r niveau</w:t>
            </w:r>
          </w:p>
        </w:tc>
        <w:tc>
          <w:tcPr>
            <w:tcW w:w="1200" w:type="dxa"/>
            <w:shd w:val="clear" w:color="auto" w:fill="1F3864"/>
            <w:vAlign w:val="center"/>
          </w:tcPr>
          <w:p>
            <w:pPr>
              <w:spacing w:before="20" w:after="20"/>
              <w:jc w:val="center"/>
            </w:pPr>
            <w:r>
              <w:rPr>
                <w:b/>
                <w:color w:val="FFFFFF"/>
                <w:sz w:val="16"/>
                <w:szCs w:val="16"/>
              </w:rPr>
              <w:t xml:space="preserve">p corrigé</w:t>
            </w:r>
          </w:p>
        </w:tc>
        <w:tc>
          <w:tcPr>
            <w:tcW w:w="1300" w:type="dxa"/>
            <w:shd w:val="clear" w:color="auto" w:fill="1F3864"/>
            <w:vAlign w:val="center"/>
          </w:tcPr>
          <w:p>
            <w:pPr>
              <w:spacing w:before="20" w:after="20"/>
              <w:jc w:val="center"/>
            </w:pPr>
            <w:r>
              <w:rPr>
                <w:b/>
                <w:color w:val="FFFFFF"/>
                <w:sz w:val="16"/>
                <w:szCs w:val="16"/>
              </w:rPr>
              <w:t xml:space="preserve">r sans tendance</w:t>
            </w:r>
          </w:p>
        </w:tc>
        <w:tc>
          <w:tcPr>
            <w:tcW w:w="1300" w:type="dxa"/>
            <w:shd w:val="clear" w:color="auto" w:fill="1F3864"/>
            <w:vAlign w:val="center"/>
          </w:tcPr>
          <w:p>
            <w:pPr>
              <w:spacing w:before="20" w:after="20"/>
              <w:jc w:val="center"/>
            </w:pPr>
            <w:r>
              <w:rPr>
                <w:b/>
                <w:color w:val="FFFFFF"/>
                <w:sz w:val="16"/>
                <w:szCs w:val="16"/>
              </w:rPr>
              <w:t xml:space="preserve">p sans tendance</w:t>
            </w:r>
          </w:p>
        </w:tc>
        <w:tc>
          <w:tcPr>
            <w:tcW w:w="1300" w:type="dxa"/>
            <w:shd w:val="clear" w:color="auto" w:fill="1F3864"/>
            <w:vAlign w:val="center"/>
          </w:tcPr>
          <w:p>
            <w:pPr>
              <w:spacing w:before="20" w:after="20"/>
              <w:jc w:val="center"/>
            </w:pPr>
            <w:r>
              <w:rPr>
                <w:b/>
                <w:color w:val="FFFFFF"/>
                <w:sz w:val="16"/>
                <w:szCs w:val="16"/>
              </w:rPr>
              <w:t xml:space="preserve">r variations</w:t>
            </w:r>
          </w:p>
        </w:tc>
      </w:tr>
      <w:tr>
        <w:trPr>
          <w:cantSplit/>
        </w:trPr>
        <w:tc>
          <w:tcPr>
            <w:tcW w:w="3000" w:type="dxa"/>
            <w:vAlign w:val="center"/>
          </w:tcPr>
          <w:p>
            <w:pPr>
              <w:spacing w:before="20" w:after="20"/>
              <w:jc w:val="left"/>
            </w:pPr>
            <w:r>
              <w:rPr>
                <w:b/>
                <w:sz w:val="16"/>
                <w:szCs w:val="16"/>
              </w:rPr>
              <w:t xml:space="preserve">Production arabica</w:t>
            </w:r>
          </w:p>
        </w:tc>
        <w:tc>
          <w:tcPr>
            <w:tcW w:w="700" w:type="dxa"/>
            <w:vAlign w:val="center"/>
          </w:tcPr>
          <w:p>
            <w:pPr>
              <w:spacing w:before="20" w:after="20"/>
              <w:jc w:val="right"/>
            </w:pPr>
            <w:r>
              <w:rPr>
                <w:sz w:val="16"/>
                <w:szCs w:val="16"/>
              </w:rPr>
              <w:t xml:space="preserve">KC</w:t>
            </w:r>
          </w:p>
        </w:tc>
        <w:tc>
          <w:tcPr>
            <w:tcW w:w="1100" w:type="dxa"/>
            <w:vAlign w:val="center"/>
          </w:tcPr>
          <w:p>
            <w:pPr>
              <w:spacing w:before="20" w:after="20"/>
              <w:jc w:val="right"/>
            </w:pPr>
            <w:r>
              <w:rPr>
                <w:sz w:val="16"/>
                <w:szCs w:val="16"/>
              </w:rPr>
              <w:t xml:space="preserve">−0,14</w:t>
            </w:r>
          </w:p>
        </w:tc>
        <w:tc>
          <w:tcPr>
            <w:tcW w:w="1200" w:type="dxa"/>
            <w:vAlign w:val="center"/>
          </w:tcPr>
          <w:p>
            <w:pPr>
              <w:spacing w:before="20" w:after="20"/>
              <w:jc w:val="right"/>
            </w:pPr>
            <w:r>
              <w:rPr>
                <w:sz w:val="16"/>
                <w:szCs w:val="16"/>
              </w:rPr>
              <w:t xml:space="preserve">0,65</w:t>
            </w:r>
          </w:p>
        </w:tc>
        <w:tc>
          <w:tcPr>
            <w:tcW w:w="1300" w:type="dxa"/>
            <w:vAlign w:val="center"/>
          </w:tcPr>
          <w:p>
            <w:pPr>
              <w:spacing w:before="20" w:after="20"/>
              <w:jc w:val="right"/>
            </w:pPr>
            <w:r>
              <w:rPr>
                <w:sz w:val="16"/>
                <w:szCs w:val="16"/>
              </w:rPr>
              <w:t xml:space="preserve">−0,35</w:t>
            </w:r>
          </w:p>
        </w:tc>
        <w:tc>
          <w:tcPr>
            <w:tcW w:w="1300" w:type="dxa"/>
            <w:vAlign w:val="center"/>
          </w:tcPr>
          <w:p>
            <w:pPr>
              <w:spacing w:before="20" w:after="20"/>
              <w:jc w:val="right"/>
            </w:pPr>
            <w:r>
              <w:rPr>
                <w:sz w:val="16"/>
                <w:szCs w:val="16"/>
              </w:rPr>
              <w:t xml:space="preserve">0,23</w:t>
            </w:r>
          </w:p>
        </w:tc>
        <w:tc>
          <w:tcPr>
            <w:tcW w:w="1300" w:type="dxa"/>
            <w:vAlign w:val="center"/>
          </w:tcPr>
          <w:p>
            <w:pPr>
              <w:spacing w:before="20" w:after="20"/>
              <w:jc w:val="right"/>
            </w:pPr>
            <w:r>
              <w:rPr>
                <w:sz w:val="16"/>
                <w:szCs w:val="16"/>
              </w:rPr>
              <w:t xml:space="preserve">−0,07</w:t>
            </w:r>
          </w:p>
        </w:tc>
      </w:tr>
      <w:tr>
        <w:trPr>
          <w:cantSplit/>
        </w:trPr>
        <w:tc>
          <w:tcPr>
            <w:tcW w:w="3000" w:type="dxa"/>
            <w:shd w:val="clear" w:color="auto" w:fill="F2F4F7"/>
            <w:vAlign w:val="center"/>
          </w:tcPr>
          <w:p>
            <w:pPr>
              <w:spacing w:before="20" w:after="20"/>
              <w:jc w:val="left"/>
            </w:pPr>
            <w:r>
              <w:rPr>
                <w:b/>
                <w:sz w:val="16"/>
                <w:szCs w:val="16"/>
              </w:rPr>
              <w:t xml:space="preserve">STU arabica, stocks de fin</w:t>
            </w:r>
          </w:p>
        </w:tc>
        <w:tc>
          <w:tcPr>
            <w:tcW w:w="700" w:type="dxa"/>
            <w:shd w:val="clear" w:color="auto" w:fill="F2F4F7"/>
            <w:vAlign w:val="center"/>
          </w:tcPr>
          <w:p>
            <w:pPr>
              <w:spacing w:before="20" w:after="20"/>
              <w:jc w:val="right"/>
            </w:pPr>
            <w:r>
              <w:rPr>
                <w:sz w:val="16"/>
                <w:szCs w:val="16"/>
              </w:rPr>
              <w:t xml:space="preserve">KC</w:t>
            </w:r>
          </w:p>
        </w:tc>
        <w:tc>
          <w:tcPr>
            <w:tcW w:w="1100" w:type="dxa"/>
            <w:shd w:val="clear" w:color="auto" w:fill="F2F4F7"/>
            <w:vAlign w:val="center"/>
          </w:tcPr>
          <w:p>
            <w:pPr>
              <w:spacing w:before="20" w:after="20"/>
              <w:jc w:val="right"/>
            </w:pPr>
            <w:r>
              <w:rPr>
                <w:sz w:val="16"/>
                <w:szCs w:val="16"/>
              </w:rPr>
              <w:t xml:space="preserve">−0,39</w:t>
            </w:r>
          </w:p>
        </w:tc>
        <w:tc>
          <w:tcPr>
            <w:tcW w:w="1200" w:type="dxa"/>
            <w:shd w:val="clear" w:color="auto" w:fill="F2F4F7"/>
            <w:vAlign w:val="center"/>
          </w:tcPr>
          <w:p>
            <w:pPr>
              <w:spacing w:before="20" w:after="20"/>
              <w:jc w:val="right"/>
            </w:pPr>
            <w:r>
              <w:rPr>
                <w:sz w:val="16"/>
                <w:szCs w:val="16"/>
              </w:rPr>
              <w:t xml:space="preserve">0,42</w:t>
            </w:r>
          </w:p>
        </w:tc>
        <w:tc>
          <w:tcPr>
            <w:tcW w:w="1300" w:type="dxa"/>
            <w:shd w:val="clear" w:color="auto" w:fill="F2F4F7"/>
            <w:vAlign w:val="center"/>
          </w:tcPr>
          <w:p>
            <w:pPr>
              <w:spacing w:before="20" w:after="20"/>
              <w:jc w:val="right"/>
            </w:pPr>
            <w:r>
              <w:rPr>
                <w:sz w:val="16"/>
                <w:szCs w:val="16"/>
              </w:rPr>
              <w:t xml:space="preserve">−0,25</w:t>
            </w:r>
          </w:p>
        </w:tc>
        <w:tc>
          <w:tcPr>
            <w:tcW w:w="1300" w:type="dxa"/>
            <w:shd w:val="clear" w:color="auto" w:fill="F2F4F7"/>
            <w:vAlign w:val="center"/>
          </w:tcPr>
          <w:p>
            <w:pPr>
              <w:spacing w:before="20" w:after="20"/>
              <w:jc w:val="right"/>
            </w:pPr>
            <w:r>
              <w:rPr>
                <w:sz w:val="16"/>
                <w:szCs w:val="16"/>
              </w:rPr>
              <w:t xml:space="preserve">0,55</w:t>
            </w:r>
          </w:p>
        </w:tc>
        <w:tc>
          <w:tcPr>
            <w:tcW w:w="1300" w:type="dxa"/>
            <w:shd w:val="clear" w:color="auto" w:fill="F2F4F7"/>
            <w:vAlign w:val="center"/>
          </w:tcPr>
          <w:p>
            <w:pPr>
              <w:spacing w:before="20" w:after="20"/>
              <w:jc w:val="right"/>
            </w:pPr>
            <w:r>
              <w:rPr>
                <w:sz w:val="16"/>
                <w:szCs w:val="16"/>
              </w:rPr>
              <w:t xml:space="preserve">−0,36</w:t>
            </w:r>
          </w:p>
        </w:tc>
      </w:tr>
      <w:tr>
        <w:trPr>
          <w:cantSplit/>
        </w:trPr>
        <w:tc>
          <w:tcPr>
            <w:tcW w:w="3000" w:type="dxa"/>
            <w:vAlign w:val="center"/>
          </w:tcPr>
          <w:p>
            <w:pPr>
              <w:spacing w:before="20" w:after="20"/>
              <w:jc w:val="left"/>
            </w:pPr>
            <w:r>
              <w:rPr>
                <w:b/>
                <w:sz w:val="16"/>
                <w:szCs w:val="16"/>
              </w:rPr>
              <w:t xml:space="preserve">STU arabica, certifiés NY</w:t>
            </w:r>
          </w:p>
        </w:tc>
        <w:tc>
          <w:tcPr>
            <w:tcW w:w="700" w:type="dxa"/>
            <w:vAlign w:val="center"/>
          </w:tcPr>
          <w:p>
            <w:pPr>
              <w:spacing w:before="20" w:after="20"/>
              <w:jc w:val="right"/>
            </w:pPr>
            <w:r>
              <w:rPr>
                <w:sz w:val="16"/>
                <w:szCs w:val="16"/>
              </w:rPr>
              <w:t xml:space="preserve">KC</w:t>
            </w:r>
          </w:p>
        </w:tc>
        <w:tc>
          <w:tcPr>
            <w:tcW w:w="1100" w:type="dxa"/>
            <w:vAlign w:val="center"/>
          </w:tcPr>
          <w:p>
            <w:pPr>
              <w:spacing w:before="20" w:after="20"/>
              <w:jc w:val="right"/>
            </w:pPr>
            <w:r>
              <w:rPr>
                <w:sz w:val="16"/>
                <w:szCs w:val="16"/>
              </w:rPr>
              <w:t xml:space="preserve">−0,61</w:t>
            </w:r>
          </w:p>
        </w:tc>
        <w:tc>
          <w:tcPr>
            <w:tcW w:w="1200" w:type="dxa"/>
            <w:vAlign w:val="center"/>
          </w:tcPr>
          <w:p>
            <w:pPr>
              <w:spacing w:before="20" w:after="20"/>
              <w:jc w:val="right"/>
            </w:pPr>
            <w:r>
              <w:rPr>
                <w:sz w:val="16"/>
                <w:szCs w:val="16"/>
              </w:rPr>
              <w:t xml:space="preserve">0,30</w:t>
            </w:r>
          </w:p>
        </w:tc>
        <w:tc>
          <w:tcPr>
            <w:tcW w:w="1300" w:type="dxa"/>
            <w:vAlign w:val="center"/>
          </w:tcPr>
          <w:p>
            <w:pPr>
              <w:spacing w:before="20" w:after="20"/>
              <w:jc w:val="right"/>
            </w:pPr>
            <w:r>
              <w:rPr>
                <w:sz w:val="16"/>
                <w:szCs w:val="16"/>
              </w:rPr>
              <w:t xml:space="preserve">−0,34</w:t>
            </w:r>
          </w:p>
        </w:tc>
        <w:tc>
          <w:tcPr>
            <w:tcW w:w="1300" w:type="dxa"/>
            <w:vAlign w:val="center"/>
          </w:tcPr>
          <w:p>
            <w:pPr>
              <w:spacing w:before="20" w:after="20"/>
              <w:jc w:val="right"/>
            </w:pPr>
            <w:r>
              <w:rPr>
                <w:sz w:val="16"/>
                <w:szCs w:val="16"/>
              </w:rPr>
              <w:t xml:space="preserve">0,26</w:t>
            </w:r>
          </w:p>
        </w:tc>
        <w:tc>
          <w:tcPr>
            <w:tcW w:w="1300" w:type="dxa"/>
            <w:vAlign w:val="center"/>
          </w:tcPr>
          <w:p>
            <w:pPr>
              <w:spacing w:before="20" w:after="20"/>
              <w:jc w:val="right"/>
            </w:pPr>
            <w:r>
              <w:rPr>
                <w:sz w:val="16"/>
                <w:szCs w:val="16"/>
              </w:rPr>
              <w:t xml:space="preserve">−0,32</w:t>
            </w:r>
          </w:p>
        </w:tc>
      </w:tr>
      <w:tr>
        <w:trPr>
          <w:cantSplit/>
        </w:trPr>
        <w:tc>
          <w:tcPr>
            <w:tcW w:w="3000" w:type="dxa"/>
            <w:shd w:val="clear" w:color="auto" w:fill="F2F4F7"/>
            <w:vAlign w:val="center"/>
          </w:tcPr>
          <w:p>
            <w:pPr>
              <w:spacing w:before="20" w:after="20"/>
              <w:jc w:val="left"/>
            </w:pPr>
            <w:r>
              <w:rPr>
                <w:b/>
                <w:sz w:val="16"/>
                <w:szCs w:val="16"/>
              </w:rPr>
              <w:t xml:space="preserve">Production robusta</w:t>
            </w:r>
          </w:p>
        </w:tc>
        <w:tc>
          <w:tcPr>
            <w:tcW w:w="700" w:type="dxa"/>
            <w:shd w:val="clear" w:color="auto" w:fill="F2F4F7"/>
            <w:vAlign w:val="center"/>
          </w:tcPr>
          <w:p>
            <w:pPr>
              <w:spacing w:before="20" w:after="20"/>
              <w:jc w:val="right"/>
            </w:pPr>
            <w:r>
              <w:rPr>
                <w:sz w:val="16"/>
                <w:szCs w:val="16"/>
              </w:rPr>
              <w:t xml:space="preserve">DF</w:t>
            </w:r>
          </w:p>
        </w:tc>
        <w:tc>
          <w:tcPr>
            <w:tcW w:w="1100" w:type="dxa"/>
            <w:shd w:val="clear" w:color="auto" w:fill="F2F4F7"/>
            <w:vAlign w:val="center"/>
          </w:tcPr>
          <w:p>
            <w:pPr>
              <w:spacing w:before="20" w:after="20"/>
              <w:jc w:val="right"/>
            </w:pPr>
            <w:r>
              <w:rPr>
                <w:sz w:val="16"/>
                <w:szCs w:val="16"/>
              </w:rPr>
              <w:t xml:space="preserve">0,31</w:t>
            </w:r>
          </w:p>
        </w:tc>
        <w:tc>
          <w:tcPr>
            <w:tcW w:w="1200" w:type="dxa"/>
            <w:shd w:val="clear" w:color="auto" w:fill="F2F4F7"/>
            <w:vAlign w:val="center"/>
          </w:tcPr>
          <w:p>
            <w:pPr>
              <w:spacing w:before="20" w:after="20"/>
              <w:jc w:val="right"/>
            </w:pPr>
            <w:r>
              <w:rPr>
                <w:sz w:val="16"/>
                <w:szCs w:val="16"/>
              </w:rPr>
              <w:t xml:space="preserve">0,76</w:t>
            </w:r>
          </w:p>
        </w:tc>
        <w:tc>
          <w:tcPr>
            <w:tcW w:w="1300" w:type="dxa"/>
            <w:shd w:val="clear" w:color="auto" w:fill="F2F4F7"/>
            <w:vAlign w:val="center"/>
          </w:tcPr>
          <w:p>
            <w:pPr>
              <w:spacing w:before="20" w:after="20"/>
              <w:jc w:val="right"/>
            </w:pPr>
            <w:r>
              <w:rPr>
                <w:sz w:val="16"/>
                <w:szCs w:val="16"/>
              </w:rPr>
              <w:t xml:space="preserve">−0,34</w:t>
            </w:r>
          </w:p>
        </w:tc>
        <w:tc>
          <w:tcPr>
            <w:tcW w:w="1300" w:type="dxa"/>
            <w:shd w:val="clear" w:color="auto" w:fill="F2F4F7"/>
            <w:vAlign w:val="center"/>
          </w:tcPr>
          <w:p>
            <w:pPr>
              <w:spacing w:before="20" w:after="20"/>
              <w:jc w:val="right"/>
            </w:pPr>
            <w:r>
              <w:rPr>
                <w:sz w:val="16"/>
                <w:szCs w:val="16"/>
              </w:rPr>
              <w:t xml:space="preserve">0,43</w:t>
            </w:r>
          </w:p>
        </w:tc>
        <w:tc>
          <w:tcPr>
            <w:tcW w:w="1300" w:type="dxa"/>
            <w:shd w:val="clear" w:color="auto" w:fill="F2F4F7"/>
            <w:vAlign w:val="center"/>
          </w:tcPr>
          <w:p>
            <w:pPr>
              <w:spacing w:before="20" w:after="20"/>
              <w:jc w:val="right"/>
            </w:pPr>
            <w:r>
              <w:rPr>
                <w:sz w:val="16"/>
                <w:szCs w:val="16"/>
              </w:rPr>
              <w:t xml:space="preserve">−0,62</w:t>
            </w:r>
          </w:p>
        </w:tc>
      </w:tr>
      <w:tr>
        <w:trPr>
          <w:cantSplit/>
        </w:trPr>
        <w:tc>
          <w:tcPr>
            <w:tcW w:w="3000" w:type="dxa"/>
            <w:vAlign w:val="center"/>
          </w:tcPr>
          <w:p>
            <w:pPr>
              <w:spacing w:before="20" w:after="20"/>
              <w:jc w:val="left"/>
            </w:pPr>
            <w:r>
              <w:rPr>
                <w:b/>
                <w:sz w:val="16"/>
                <w:szCs w:val="16"/>
              </w:rPr>
              <w:t xml:space="preserve">STU robusta, stocks de fin</w:t>
            </w:r>
          </w:p>
        </w:tc>
        <w:tc>
          <w:tcPr>
            <w:tcW w:w="700" w:type="dxa"/>
            <w:vAlign w:val="center"/>
          </w:tcPr>
          <w:p>
            <w:pPr>
              <w:spacing w:before="20" w:after="20"/>
              <w:jc w:val="right"/>
            </w:pPr>
            <w:r>
              <w:rPr>
                <w:sz w:val="16"/>
                <w:szCs w:val="16"/>
              </w:rPr>
              <w:t xml:space="preserve">DF</w:t>
            </w:r>
          </w:p>
        </w:tc>
        <w:tc>
          <w:tcPr>
            <w:tcW w:w="1100" w:type="dxa"/>
            <w:vAlign w:val="center"/>
          </w:tcPr>
          <w:p>
            <w:pPr>
              <w:spacing w:before="20" w:after="20"/>
              <w:jc w:val="right"/>
            </w:pPr>
            <w:r>
              <w:rPr>
                <w:sz w:val="16"/>
                <w:szCs w:val="16"/>
              </w:rPr>
              <w:t xml:space="preserve">−0,54</w:t>
            </w:r>
          </w:p>
        </w:tc>
        <w:tc>
          <w:tcPr>
            <w:tcW w:w="1200" w:type="dxa"/>
            <w:vAlign w:val="center"/>
          </w:tcPr>
          <w:p>
            <w:pPr>
              <w:spacing w:before="20" w:after="20"/>
              <w:jc w:val="right"/>
            </w:pPr>
            <w:r>
              <w:rPr>
                <w:sz w:val="16"/>
                <w:szCs w:val="16"/>
              </w:rPr>
              <w:t xml:space="preserve">0,26</w:t>
            </w:r>
          </w:p>
        </w:tc>
        <w:tc>
          <w:tcPr>
            <w:tcW w:w="1300" w:type="dxa"/>
            <w:vAlign w:val="center"/>
          </w:tcPr>
          <w:p>
            <w:pPr>
              <w:spacing w:before="20" w:after="20"/>
              <w:jc w:val="right"/>
            </w:pPr>
            <w:r>
              <w:rPr>
                <w:sz w:val="16"/>
                <w:szCs w:val="16"/>
              </w:rPr>
              <w:t xml:space="preserve">−0,37</w:t>
            </w:r>
          </w:p>
        </w:tc>
        <w:tc>
          <w:tcPr>
            <w:tcW w:w="1300" w:type="dxa"/>
            <w:vAlign w:val="center"/>
          </w:tcPr>
          <w:p>
            <w:pPr>
              <w:spacing w:before="20" w:after="20"/>
              <w:jc w:val="right"/>
            </w:pPr>
            <w:r>
              <w:rPr>
                <w:sz w:val="16"/>
                <w:szCs w:val="16"/>
              </w:rPr>
              <w:t xml:space="preserve">0,41</w:t>
            </w:r>
          </w:p>
        </w:tc>
        <w:tc>
          <w:tcPr>
            <w:tcW w:w="1300" w:type="dxa"/>
            <w:vAlign w:val="center"/>
          </w:tcPr>
          <w:p>
            <w:pPr>
              <w:spacing w:before="20" w:after="20"/>
              <w:jc w:val="right"/>
            </w:pPr>
            <w:r>
              <w:rPr>
                <w:sz w:val="16"/>
                <w:szCs w:val="16"/>
              </w:rPr>
              <w:t xml:space="preserve">−0,11</w:t>
            </w:r>
          </w:p>
        </w:tc>
      </w:tr>
      <w:tr>
        <w:trPr>
          <w:cantSplit/>
        </w:trPr>
        <w:tc>
          <w:tcPr>
            <w:tcW w:w="3000" w:type="dxa"/>
            <w:shd w:val="clear" w:color="auto" w:fill="F2F4F7"/>
            <w:vAlign w:val="center"/>
          </w:tcPr>
          <w:p>
            <w:pPr>
              <w:spacing w:before="20" w:after="20"/>
              <w:jc w:val="left"/>
            </w:pPr>
            <w:r>
              <w:rPr>
                <w:b/>
                <w:sz w:val="16"/>
                <w:szCs w:val="16"/>
              </w:rPr>
              <w:t xml:space="preserve">STU robusta, certifiés Londres</w:t>
            </w:r>
          </w:p>
        </w:tc>
        <w:tc>
          <w:tcPr>
            <w:tcW w:w="700" w:type="dxa"/>
            <w:shd w:val="clear" w:color="auto" w:fill="F2F4F7"/>
            <w:vAlign w:val="center"/>
          </w:tcPr>
          <w:p>
            <w:pPr>
              <w:spacing w:before="20" w:after="20"/>
              <w:jc w:val="right"/>
            </w:pPr>
            <w:r>
              <w:rPr>
                <w:sz w:val="16"/>
                <w:szCs w:val="16"/>
              </w:rPr>
              <w:t xml:space="preserve">DF</w:t>
            </w:r>
          </w:p>
        </w:tc>
        <w:tc>
          <w:tcPr>
            <w:tcW w:w="1100" w:type="dxa"/>
            <w:shd w:val="clear" w:color="auto" w:fill="F2F4F7"/>
            <w:vAlign w:val="center"/>
          </w:tcPr>
          <w:p>
            <w:pPr>
              <w:spacing w:before="20" w:after="20"/>
              <w:jc w:val="right"/>
            </w:pPr>
            <w:r>
              <w:rPr>
                <w:sz w:val="16"/>
                <w:szCs w:val="16"/>
              </w:rPr>
              <w:t xml:space="preserve">−0,56</w:t>
            </w:r>
          </w:p>
        </w:tc>
        <w:tc>
          <w:tcPr>
            <w:tcW w:w="1200" w:type="dxa"/>
            <w:shd w:val="clear" w:color="auto" w:fill="F2F4F7"/>
            <w:vAlign w:val="center"/>
          </w:tcPr>
          <w:p>
            <w:pPr>
              <w:spacing w:before="20" w:after="20"/>
              <w:jc w:val="right"/>
            </w:pPr>
            <w:r>
              <w:rPr>
                <w:sz w:val="16"/>
                <w:szCs w:val="16"/>
              </w:rPr>
              <w:t xml:space="preserve">0,16</w:t>
            </w:r>
          </w:p>
        </w:tc>
        <w:tc>
          <w:tcPr>
            <w:tcW w:w="1300" w:type="dxa"/>
            <w:shd w:val="clear" w:color="auto" w:fill="F2F4F7"/>
            <w:vAlign w:val="center"/>
          </w:tcPr>
          <w:p>
            <w:pPr>
              <w:spacing w:before="20" w:after="20"/>
              <w:jc w:val="right"/>
            </w:pPr>
            <w:r>
              <w:rPr>
                <w:sz w:val="16"/>
                <w:szCs w:val="16"/>
              </w:rPr>
              <w:t xml:space="preserve">−0,29</w:t>
            </w:r>
          </w:p>
        </w:tc>
        <w:tc>
          <w:tcPr>
            <w:tcW w:w="1300" w:type="dxa"/>
            <w:shd w:val="clear" w:color="auto" w:fill="F2F4F7"/>
            <w:vAlign w:val="center"/>
          </w:tcPr>
          <w:p>
            <w:pPr>
              <w:spacing w:before="20" w:after="20"/>
              <w:jc w:val="right"/>
            </w:pPr>
            <w:r>
              <w:rPr>
                <w:sz w:val="16"/>
                <w:szCs w:val="16"/>
              </w:rPr>
              <w:t xml:space="preserve">0,36</w:t>
            </w:r>
          </w:p>
        </w:tc>
        <w:tc>
          <w:tcPr>
            <w:tcW w:w="1300" w:type="dxa"/>
            <w:shd w:val="clear" w:color="auto" w:fill="F2F4F7"/>
            <w:vAlign w:val="center"/>
          </w:tcPr>
          <w:p>
            <w:pPr>
              <w:spacing w:before="20" w:after="20"/>
              <w:jc w:val="right"/>
            </w:pPr>
            <w:r>
              <w:rPr>
                <w:sz w:val="16"/>
                <w:szCs w:val="16"/>
              </w:rPr>
              <w:t xml:space="preserve">0,20</w:t>
            </w:r>
          </w:p>
        </w:tc>
      </w:tr>
      <w:tr>
        <w:trPr>
          <w:cantSplit/>
        </w:trPr>
        <w:tc>
          <w:tcPr>
            <w:tcW w:w="3000" w:type="dxa"/>
            <w:vAlign w:val="center"/>
          </w:tcPr>
          <w:p>
            <w:pPr>
              <w:spacing w:before="20" w:after="20"/>
              <w:jc w:val="left"/>
            </w:pPr>
            <w:r>
              <w:rPr>
                <w:b/>
                <w:sz w:val="16"/>
                <w:szCs w:val="16"/>
              </w:rPr>
              <w:t xml:space="preserve">STU mondial, stocks de fin</w:t>
            </w:r>
          </w:p>
        </w:tc>
        <w:tc>
          <w:tcPr>
            <w:tcW w:w="700" w:type="dxa"/>
            <w:vAlign w:val="center"/>
          </w:tcPr>
          <w:p>
            <w:pPr>
              <w:spacing w:before="20" w:after="20"/>
              <w:jc w:val="right"/>
            </w:pPr>
            <w:r>
              <w:rPr>
                <w:sz w:val="16"/>
                <w:szCs w:val="16"/>
              </w:rPr>
              <w:t xml:space="preserve">KC</w:t>
            </w:r>
          </w:p>
        </w:tc>
        <w:tc>
          <w:tcPr>
            <w:tcW w:w="1100" w:type="dxa"/>
            <w:vAlign w:val="center"/>
          </w:tcPr>
          <w:p>
            <w:pPr>
              <w:spacing w:before="20" w:after="20"/>
              <w:jc w:val="right"/>
            </w:pPr>
            <w:r>
              <w:rPr>
                <w:sz w:val="16"/>
                <w:szCs w:val="16"/>
              </w:rPr>
              <w:t xml:space="preserve">−0,63</w:t>
            </w:r>
          </w:p>
        </w:tc>
        <w:tc>
          <w:tcPr>
            <w:tcW w:w="1200" w:type="dxa"/>
            <w:vAlign w:val="center"/>
          </w:tcPr>
          <w:p>
            <w:pPr>
              <w:spacing w:before="20" w:after="20"/>
              <w:jc w:val="right"/>
            </w:pPr>
            <w:r>
              <w:rPr>
                <w:sz w:val="16"/>
                <w:szCs w:val="16"/>
              </w:rPr>
              <w:t xml:space="preserve">0,29</w:t>
            </w:r>
          </w:p>
        </w:tc>
        <w:tc>
          <w:tcPr>
            <w:tcW w:w="1300" w:type="dxa"/>
            <w:vAlign w:val="center"/>
          </w:tcPr>
          <w:p>
            <w:pPr>
              <w:spacing w:before="20" w:after="20"/>
              <w:jc w:val="right"/>
            </w:pPr>
            <w:r>
              <w:rPr>
                <w:sz w:val="16"/>
                <w:szCs w:val="16"/>
              </w:rPr>
              <w:t xml:space="preserve">−0,58</w:t>
            </w:r>
          </w:p>
        </w:tc>
        <w:tc>
          <w:tcPr>
            <w:tcW w:w="1300" w:type="dxa"/>
            <w:vAlign w:val="center"/>
          </w:tcPr>
          <w:p>
            <w:pPr>
              <w:spacing w:before="20" w:after="20"/>
              <w:jc w:val="right"/>
            </w:pPr>
            <w:r>
              <w:rPr>
                <w:sz w:val="16"/>
                <w:szCs w:val="16"/>
              </w:rPr>
              <w:t xml:space="preserve">0,27</w:t>
            </w:r>
          </w:p>
        </w:tc>
        <w:tc>
          <w:tcPr>
            <w:tcW w:w="1300" w:type="dxa"/>
            <w:vAlign w:val="center"/>
          </w:tcPr>
          <w:p>
            <w:pPr>
              <w:spacing w:before="20" w:after="20"/>
              <w:jc w:val="right"/>
            </w:pPr>
            <w:r>
              <w:rPr>
                <w:sz w:val="16"/>
                <w:szCs w:val="16"/>
              </w:rPr>
              <w:t xml:space="preserve">−0,13</w:t>
            </w:r>
          </w:p>
        </w:tc>
      </w:tr>
      <w:tr>
        <w:trPr>
          <w:cantSplit/>
        </w:trPr>
        <w:tc>
          <w:tcPr>
            <w:tcW w:w="3000" w:type="dxa"/>
            <w:shd w:val="clear" w:color="auto" w:fill="F2F4F7"/>
            <w:vAlign w:val="center"/>
          </w:tcPr>
          <w:p>
            <w:pPr>
              <w:spacing w:before="20" w:after="20"/>
              <w:jc w:val="left"/>
            </w:pPr>
            <w:r>
              <w:rPr>
                <w:b/>
                <w:sz w:val="16"/>
                <w:szCs w:val="16"/>
              </w:rPr>
              <w:t xml:space="preserve">STU mondial, stocks de fin</w:t>
            </w:r>
          </w:p>
        </w:tc>
        <w:tc>
          <w:tcPr>
            <w:tcW w:w="700" w:type="dxa"/>
            <w:shd w:val="clear" w:color="auto" w:fill="F2F4F7"/>
            <w:vAlign w:val="center"/>
          </w:tcPr>
          <w:p>
            <w:pPr>
              <w:spacing w:before="20" w:after="20"/>
              <w:jc w:val="right"/>
            </w:pPr>
            <w:r>
              <w:rPr>
                <w:sz w:val="16"/>
                <w:szCs w:val="16"/>
              </w:rPr>
              <w:t xml:space="preserve">DF</w:t>
            </w:r>
          </w:p>
        </w:tc>
        <w:tc>
          <w:tcPr>
            <w:tcW w:w="1100" w:type="dxa"/>
            <w:shd w:val="clear" w:color="auto" w:fill="F2F4F7"/>
            <w:vAlign w:val="center"/>
          </w:tcPr>
          <w:p>
            <w:pPr>
              <w:spacing w:before="20" w:after="20"/>
              <w:jc w:val="right"/>
            </w:pPr>
            <w:r>
              <w:rPr>
                <w:sz w:val="16"/>
                <w:szCs w:val="16"/>
              </w:rPr>
              <w:t xml:space="preserve">−0,72</w:t>
            </w:r>
          </w:p>
        </w:tc>
        <w:tc>
          <w:tcPr>
            <w:tcW w:w="1200" w:type="dxa"/>
            <w:shd w:val="clear" w:color="auto" w:fill="F2F4F7"/>
            <w:vAlign w:val="center"/>
          </w:tcPr>
          <w:p>
            <w:pPr>
              <w:spacing w:before="20" w:after="20"/>
              <w:jc w:val="right"/>
            </w:pPr>
            <w:r>
              <w:rPr>
                <w:sz w:val="16"/>
                <w:szCs w:val="16"/>
              </w:rPr>
              <w:t xml:space="preserve">0,33</w:t>
            </w:r>
          </w:p>
        </w:tc>
        <w:tc>
          <w:tcPr>
            <w:tcW w:w="1300" w:type="dxa"/>
            <w:shd w:val="clear" w:color="auto" w:fill="F2F4F7"/>
            <w:vAlign w:val="center"/>
          </w:tcPr>
          <w:p>
            <w:pPr>
              <w:spacing w:before="20" w:after="20"/>
              <w:jc w:val="right"/>
            </w:pPr>
            <w:r>
              <w:rPr>
                <w:sz w:val="16"/>
                <w:szCs w:val="16"/>
              </w:rPr>
              <w:t xml:space="preserve">−0,59</w:t>
            </w:r>
          </w:p>
        </w:tc>
        <w:tc>
          <w:tcPr>
            <w:tcW w:w="1300" w:type="dxa"/>
            <w:shd w:val="clear" w:color="auto" w:fill="F2F4F7"/>
            <w:vAlign w:val="center"/>
          </w:tcPr>
          <w:p>
            <w:pPr>
              <w:spacing w:before="20" w:after="20"/>
              <w:jc w:val="right"/>
            </w:pPr>
            <w:r>
              <w:rPr>
                <w:sz w:val="16"/>
                <w:szCs w:val="16"/>
              </w:rPr>
              <w:t xml:space="preserve">0,32</w:t>
            </w:r>
          </w:p>
        </w:tc>
        <w:tc>
          <w:tcPr>
            <w:tcW w:w="1300" w:type="dxa"/>
            <w:shd w:val="clear" w:color="auto" w:fill="F2F4F7"/>
            <w:vAlign w:val="center"/>
          </w:tcPr>
          <w:p>
            <w:pPr>
              <w:spacing w:before="20" w:after="20"/>
              <w:jc w:val="right"/>
            </w:pPr>
            <w:r>
              <w:rPr>
                <w:sz w:val="16"/>
                <w:szCs w:val="16"/>
              </w:rPr>
              <w:t xml:space="preserve">−0,14</w:t>
            </w:r>
          </w:p>
        </w:tc>
      </w:tr>
      <w:tr>
        <w:trPr>
          <w:cantSplit/>
        </w:trPr>
        <w:tc>
          <w:tcPr>
            <w:tcW w:w="3000" w:type="dxa"/>
            <w:vAlign w:val="center"/>
          </w:tcPr>
          <w:p>
            <w:pPr>
              <w:spacing w:before="20" w:after="20"/>
              <w:jc w:val="left"/>
            </w:pPr>
            <w:r>
              <w:rPr>
                <w:b/>
                <w:sz w:val="16"/>
                <w:szCs w:val="16"/>
              </w:rPr>
              <w:t xml:space="preserve">STU mondial, certifiés</w:t>
            </w:r>
          </w:p>
        </w:tc>
        <w:tc>
          <w:tcPr>
            <w:tcW w:w="700" w:type="dxa"/>
            <w:vAlign w:val="center"/>
          </w:tcPr>
          <w:p>
            <w:pPr>
              <w:spacing w:before="20" w:after="20"/>
              <w:jc w:val="right"/>
            </w:pPr>
            <w:r>
              <w:rPr>
                <w:sz w:val="16"/>
                <w:szCs w:val="16"/>
              </w:rPr>
              <w:t xml:space="preserve">KC</w:t>
            </w:r>
          </w:p>
        </w:tc>
        <w:tc>
          <w:tcPr>
            <w:tcW w:w="1100" w:type="dxa"/>
            <w:vAlign w:val="center"/>
          </w:tcPr>
          <w:p>
            <w:pPr>
              <w:spacing w:before="20" w:after="20"/>
              <w:jc w:val="right"/>
            </w:pPr>
            <w:r>
              <w:rPr>
                <w:sz w:val="16"/>
                <w:szCs w:val="16"/>
              </w:rPr>
              <w:t xml:space="preserve">−0,63</w:t>
            </w:r>
          </w:p>
        </w:tc>
        <w:tc>
          <w:tcPr>
            <w:tcW w:w="1200" w:type="dxa"/>
            <w:vAlign w:val="center"/>
          </w:tcPr>
          <w:p>
            <w:pPr>
              <w:spacing w:before="20" w:after="20"/>
              <w:jc w:val="right"/>
            </w:pPr>
            <w:r>
              <w:rPr>
                <w:sz w:val="16"/>
                <w:szCs w:val="16"/>
              </w:rPr>
              <w:t xml:space="preserve">0,29</w:t>
            </w:r>
          </w:p>
        </w:tc>
        <w:tc>
          <w:tcPr>
            <w:tcW w:w="1300" w:type="dxa"/>
            <w:vAlign w:val="center"/>
          </w:tcPr>
          <w:p>
            <w:pPr>
              <w:spacing w:before="20" w:after="20"/>
              <w:jc w:val="right"/>
            </w:pPr>
            <w:r>
              <w:rPr>
                <w:sz w:val="16"/>
                <w:szCs w:val="16"/>
              </w:rPr>
              <w:t xml:space="preserve">−0,39</w:t>
            </w:r>
          </w:p>
        </w:tc>
        <w:tc>
          <w:tcPr>
            <w:tcW w:w="1300" w:type="dxa"/>
            <w:vAlign w:val="center"/>
          </w:tcPr>
          <w:p>
            <w:pPr>
              <w:spacing w:before="20" w:after="20"/>
              <w:jc w:val="right"/>
            </w:pPr>
            <w:r>
              <w:rPr>
                <w:sz w:val="16"/>
                <w:szCs w:val="16"/>
              </w:rPr>
              <w:t xml:space="preserve">0,19</w:t>
            </w:r>
          </w:p>
        </w:tc>
        <w:tc>
          <w:tcPr>
            <w:tcW w:w="1300" w:type="dxa"/>
            <w:vAlign w:val="center"/>
          </w:tcPr>
          <w:p>
            <w:pPr>
              <w:spacing w:before="20" w:after="20"/>
              <w:jc w:val="right"/>
            </w:pPr>
            <w:r>
              <w:rPr>
                <w:sz w:val="16"/>
                <w:szCs w:val="16"/>
              </w:rPr>
              <w:t xml:space="preserve">0,05</w:t>
            </w:r>
          </w:p>
        </w:tc>
      </w:tr>
      <w:tr>
        <w:trPr>
          <w:cantSplit/>
        </w:trPr>
        <w:tc>
          <w:tcPr>
            <w:tcW w:w="3000" w:type="dxa"/>
            <w:shd w:val="clear" w:color="auto" w:fill="F2F4F7"/>
            <w:vAlign w:val="center"/>
          </w:tcPr>
          <w:p>
            <w:pPr>
              <w:spacing w:before="20" w:after="20"/>
              <w:jc w:val="left"/>
            </w:pPr>
            <w:r>
              <w:rPr>
                <w:b/>
                <w:sz w:val="16"/>
                <w:szCs w:val="16"/>
              </w:rPr>
              <w:t xml:space="preserve">STU mondial, certifiés</w:t>
            </w:r>
          </w:p>
        </w:tc>
        <w:tc>
          <w:tcPr>
            <w:tcW w:w="700" w:type="dxa"/>
            <w:shd w:val="clear" w:color="auto" w:fill="F2F4F7"/>
            <w:vAlign w:val="center"/>
          </w:tcPr>
          <w:p>
            <w:pPr>
              <w:spacing w:before="20" w:after="20"/>
              <w:jc w:val="right"/>
            </w:pPr>
            <w:r>
              <w:rPr>
                <w:sz w:val="16"/>
                <w:szCs w:val="16"/>
              </w:rPr>
              <w:t xml:space="preserve">DF</w:t>
            </w:r>
          </w:p>
        </w:tc>
        <w:tc>
          <w:tcPr>
            <w:tcW w:w="1100" w:type="dxa"/>
            <w:shd w:val="clear" w:color="auto" w:fill="F2F4F7"/>
            <w:vAlign w:val="center"/>
          </w:tcPr>
          <w:p>
            <w:pPr>
              <w:spacing w:before="20" w:after="20"/>
              <w:jc w:val="right"/>
            </w:pPr>
            <w:r>
              <w:rPr>
                <w:sz w:val="16"/>
                <w:szCs w:val="16"/>
              </w:rPr>
              <w:t xml:space="preserve">−0,65</w:t>
            </w:r>
          </w:p>
        </w:tc>
        <w:tc>
          <w:tcPr>
            <w:tcW w:w="1200" w:type="dxa"/>
            <w:shd w:val="clear" w:color="auto" w:fill="F2F4F7"/>
            <w:vAlign w:val="center"/>
          </w:tcPr>
          <w:p>
            <w:pPr>
              <w:spacing w:before="20" w:after="20"/>
              <w:jc w:val="right"/>
            </w:pPr>
            <w:r>
              <w:rPr>
                <w:sz w:val="16"/>
                <w:szCs w:val="16"/>
              </w:rPr>
              <w:t xml:space="preserve">0,38</w:t>
            </w:r>
          </w:p>
        </w:tc>
        <w:tc>
          <w:tcPr>
            <w:tcW w:w="1300" w:type="dxa"/>
            <w:shd w:val="clear" w:color="auto" w:fill="F2F4F7"/>
            <w:vAlign w:val="center"/>
          </w:tcPr>
          <w:p>
            <w:pPr>
              <w:spacing w:before="20" w:after="20"/>
              <w:jc w:val="right"/>
            </w:pPr>
            <w:r>
              <w:rPr>
                <w:sz w:val="16"/>
                <w:szCs w:val="16"/>
              </w:rPr>
              <w:t xml:space="preserve">−0,34</w:t>
            </w:r>
          </w:p>
        </w:tc>
        <w:tc>
          <w:tcPr>
            <w:tcW w:w="1300" w:type="dxa"/>
            <w:shd w:val="clear" w:color="auto" w:fill="F2F4F7"/>
            <w:vAlign w:val="center"/>
          </w:tcPr>
          <w:p>
            <w:pPr>
              <w:spacing w:before="20" w:after="20"/>
              <w:jc w:val="right"/>
            </w:pPr>
            <w:r>
              <w:rPr>
                <w:sz w:val="16"/>
                <w:szCs w:val="16"/>
              </w:rPr>
              <w:t xml:space="preserve">0,25</w:t>
            </w:r>
          </w:p>
        </w:tc>
        <w:tc>
          <w:tcPr>
            <w:tcW w:w="1300" w:type="dxa"/>
            <w:shd w:val="clear" w:color="auto" w:fill="F2F4F7"/>
            <w:vAlign w:val="center"/>
          </w:tcPr>
          <w:p>
            <w:pPr>
              <w:spacing w:before="20" w:after="20"/>
              <w:jc w:val="right"/>
            </w:pPr>
            <w:r>
              <w:rPr>
                <w:sz w:val="16"/>
                <w:szCs w:val="16"/>
              </w:rPr>
              <w:t xml:space="preserve">0,18</w:t>
            </w:r>
          </w:p>
        </w:tc>
      </w:tr>
    </w:tbl>
    <w:p>
      <w:pPr>
        <w:spacing w:after="60"/>
      </w:pPr>
      <w:r>
        <w:t xml:space="preserve"/>
      </w:r>
    </w:p>
    <w:p>
      <w:r>
        <w:t xml:space="preserve">Lecture : tous les liens de niveau vont dans le sens attendu (stocks bas, prix hauts), mais une fois l'autocorrélation prise en compte, aucun n'est significatif, ni en niveau ni sans tendance. Le STU mondial reste le plus fort une fois la tendance retirée (−0,58 et −0,59). D'une campagne à l'autre, les stocks sont peu liés au prix : le prix anticipe les révisions de récolte avant que les stocks ne soient publiés.</w:t>
      </w:r>
    </w:p>
    <w:p>
      <w:pPr>
        <w:pStyle w:val="Heading2"/>
        <w:keepNext/>
      </w:pPr>
      <w:r>
        <w:t xml:space="preserve">La production : le marché price la récolte suivante</w:t>
      </w:r>
    </w:p>
    <w:p>
      <w:pPr>
        <w:pStyle w:val="ListBullet"/>
        <w:numPr>
          <w:ilvl w:val="0"/>
          <w:numId w:val="1"/>
        </w:numPr>
      </w:pPr>
      <w:r>
        <w:t xml:space="preserve">KC et récolte arabica de la même campagne : −0,08. KC et récolte arabica de la campagne suivante : −0,49 (p = 0,07 ; +1 % de récolte à venir ≈ −1,3 % de KC). Brésil seul : −0,45 ; Colombie seule : −0,75. Ces tests portent sur 15 variations et sont exploratoires.</w:t>
      </w:r>
    </w:p>
    <w:p>
      <w:pPr>
        <w:pStyle w:val="ListBullet"/>
        <w:numPr>
          <w:ilvl w:val="0"/>
          <w:numId w:val="1"/>
        </w:numPr>
      </w:pPr>
      <w:r>
        <w:t xml:space="preserve">Formulation qui colle le mieux au KC (trouvée après plusieurs essais, donc exploratoire ; recalculée indépendamment) : la variation du KC d'une campagne suit l'écart entre la prochaine récolte brésilienne d'arabica et celle de même phase deux ans plus tôt, environ −1,3 % de KC par % d'écart (R² 0,58 ; 0,44 en validation croisée). La réaction se concentre entre juillet-août et février, pendant la floraison et le développement de la récolte (r de −0,61 à −0,72 selon le mois de départ).</w:t>
      </w:r>
    </w:p>
    <w:p>
      <w:pPr>
        <w:pStyle w:val="ListBullet"/>
        <w:numPr>
          <w:ilvl w:val="0"/>
          <w:numId w:val="1"/>
        </w:numPr>
      </w:pPr>
      <w:r>
        <w:t xml:space="preserve">DF et récolte robusta de la même campagne : −0,62 (p = 0,01 ; −1 % de robusta ≈ +2,1 % de DF). Le robusta n'a pas de cycle bisannuel ; le signal vient du conilon brésilien et de l'Indonésie autant que du Vietnam (−0,35 seul).</w:t>
      </w:r>
    </w:p>
    <w:p>
      <w:pPr>
        <w:pStyle w:val="Heading2"/>
        <w:keepNext/>
      </w:pPr>
      <w:r>
        <w:t xml:space="preserve">Les stocks certifiés réagissent-ils au prix ? (l'effet ricochet)</w:t>
      </w:r>
    </w:p>
    <w:tbl>
      <w:tblPr>
        <w:tblStyle w:val="Grille"/>
        <w:tblW w:w="10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1600"/>
        <w:gridCol w:w="2100"/>
        <w:gridCol w:w="2100"/>
        <w:gridCol w:w="2100"/>
        <w:gridCol w:w="2100"/>
      </w:tblGrid>
      <w:tr>
        <w:trPr>
          <w:tblHeader/>
        </w:trPr>
        <w:tc>
          <w:tcPr>
            <w:tcW w:w="1600" w:type="dxa"/>
            <w:shd w:val="clear" w:color="auto" w:fill="1F3864"/>
            <w:vAlign w:val="center"/>
          </w:tcPr>
          <w:p>
            <w:pPr>
              <w:spacing w:before="20" w:after="20"/>
              <w:jc w:val="center"/>
            </w:pPr>
            <w:r>
              <w:rPr>
                <w:b/>
                <w:color w:val="FFFFFF"/>
                <w:sz w:val="16"/>
                <w:szCs w:val="16"/>
              </w:rPr>
              <w:t xml:space="preserve">Horizon</w:t>
            </w:r>
          </w:p>
        </w:tc>
        <w:tc>
          <w:tcPr>
            <w:tcW w:w="2100" w:type="dxa"/>
            <w:shd w:val="clear" w:color="auto" w:fill="1F3864"/>
            <w:vAlign w:val="center"/>
          </w:tcPr>
          <w:p>
            <w:pPr>
              <w:spacing w:before="20" w:after="20"/>
              <w:jc w:val="center"/>
            </w:pPr>
            <w:r>
              <w:rPr>
                <w:b/>
                <w:color w:val="FFFFFF"/>
                <w:sz w:val="16"/>
                <w:szCs w:val="16"/>
              </w:rPr>
              <w:t xml:space="preserve">Prix → certifiés NY</w:t>
            </w:r>
          </w:p>
        </w:tc>
        <w:tc>
          <w:tcPr>
            <w:tcW w:w="2100" w:type="dxa"/>
            <w:shd w:val="clear" w:color="auto" w:fill="1F3864"/>
            <w:vAlign w:val="center"/>
          </w:tcPr>
          <w:p>
            <w:pPr>
              <w:spacing w:before="20" w:after="20"/>
              <w:jc w:val="center"/>
            </w:pPr>
            <w:r>
              <w:rPr>
                <w:b/>
                <w:color w:val="FFFFFF"/>
                <w:sz w:val="16"/>
                <w:szCs w:val="16"/>
              </w:rPr>
              <w:t xml:space="preserve">Certifiés NY → prix</w:t>
            </w:r>
          </w:p>
        </w:tc>
        <w:tc>
          <w:tcPr>
            <w:tcW w:w="2100" w:type="dxa"/>
            <w:shd w:val="clear" w:color="auto" w:fill="1F3864"/>
            <w:vAlign w:val="center"/>
          </w:tcPr>
          <w:p>
            <w:pPr>
              <w:spacing w:before="20" w:after="20"/>
              <w:jc w:val="center"/>
            </w:pPr>
            <w:r>
              <w:rPr>
                <w:b/>
                <w:color w:val="FFFFFF"/>
                <w:sz w:val="16"/>
                <w:szCs w:val="16"/>
              </w:rPr>
              <w:t xml:space="preserve">Prix → certifiés Londres</w:t>
            </w:r>
          </w:p>
        </w:tc>
        <w:tc>
          <w:tcPr>
            <w:tcW w:w="2100" w:type="dxa"/>
            <w:shd w:val="clear" w:color="auto" w:fill="1F3864"/>
            <w:vAlign w:val="center"/>
          </w:tcPr>
          <w:p>
            <w:pPr>
              <w:spacing w:before="20" w:after="20"/>
              <w:jc w:val="center"/>
            </w:pPr>
            <w:r>
              <w:rPr>
                <w:b/>
                <w:color w:val="FFFFFF"/>
                <w:sz w:val="16"/>
                <w:szCs w:val="16"/>
              </w:rPr>
              <w:t xml:space="preserve">Certifiés Londres → prix</w:t>
            </w:r>
          </w:p>
        </w:tc>
      </w:tr>
      <w:tr>
        <w:trPr>
          <w:cantSplit/>
        </w:trPr>
        <w:tc>
          <w:tcPr>
            <w:tcW w:w="1600" w:type="dxa"/>
            <w:vAlign w:val="center"/>
          </w:tcPr>
          <w:p>
            <w:pPr>
              <w:spacing w:before="20" w:after="20"/>
              <w:jc w:val="left"/>
            </w:pPr>
            <w:r>
              <w:rPr>
                <w:b/>
                <w:sz w:val="16"/>
                <w:szCs w:val="16"/>
              </w:rPr>
              <w:t xml:space="preserve">1 mois</w:t>
            </w:r>
          </w:p>
        </w:tc>
        <w:tc>
          <w:tcPr>
            <w:tcW w:w="2100" w:type="dxa"/>
            <w:vAlign w:val="center"/>
          </w:tcPr>
          <w:p>
            <w:pPr>
              <w:spacing w:before="20" w:after="20"/>
              <w:jc w:val="right"/>
            </w:pPr>
            <w:r>
              <w:rPr>
                <w:sz w:val="16"/>
                <w:szCs w:val="16"/>
              </w:rPr>
              <w:t xml:space="preserve">−0,11</w:t>
            </w:r>
          </w:p>
        </w:tc>
        <w:tc>
          <w:tcPr>
            <w:tcW w:w="2100" w:type="dxa"/>
            <w:vAlign w:val="center"/>
          </w:tcPr>
          <w:p>
            <w:pPr>
              <w:spacing w:before="20" w:after="20"/>
              <w:jc w:val="right"/>
            </w:pPr>
            <w:r>
              <w:rPr>
                <w:sz w:val="16"/>
                <w:szCs w:val="16"/>
              </w:rPr>
              <w:t xml:space="preserve">0,00</w:t>
            </w:r>
          </w:p>
        </w:tc>
        <w:tc>
          <w:tcPr>
            <w:tcW w:w="2100" w:type="dxa"/>
            <w:vAlign w:val="center"/>
          </w:tcPr>
          <w:p>
            <w:pPr>
              <w:spacing w:before="20" w:after="20"/>
              <w:jc w:val="right"/>
            </w:pPr>
            <w:r>
              <w:rPr>
                <w:sz w:val="16"/>
                <w:szCs w:val="16"/>
              </w:rPr>
              <w:t xml:space="preserve">0,00</w:t>
            </w:r>
          </w:p>
        </w:tc>
        <w:tc>
          <w:tcPr>
            <w:tcW w:w="2100" w:type="dxa"/>
            <w:vAlign w:val="center"/>
          </w:tcPr>
          <w:p>
            <w:pPr>
              <w:spacing w:before="20" w:after="20"/>
              <w:jc w:val="right"/>
            </w:pPr>
            <w:r>
              <w:rPr>
                <w:sz w:val="16"/>
                <w:szCs w:val="16"/>
              </w:rPr>
              <w:t xml:space="preserve">0,06</w:t>
            </w:r>
          </w:p>
        </w:tc>
      </w:tr>
      <w:tr>
        <w:trPr>
          <w:cantSplit/>
        </w:trPr>
        <w:tc>
          <w:tcPr>
            <w:tcW w:w="1600" w:type="dxa"/>
            <w:shd w:val="clear" w:color="auto" w:fill="F2F4F7"/>
            <w:vAlign w:val="center"/>
          </w:tcPr>
          <w:p>
            <w:pPr>
              <w:spacing w:before="20" w:after="20"/>
              <w:jc w:val="left"/>
            </w:pPr>
            <w:r>
              <w:rPr>
                <w:b/>
                <w:sz w:val="16"/>
                <w:szCs w:val="16"/>
              </w:rPr>
              <w:t xml:space="preserve">3 mois</w:t>
            </w:r>
          </w:p>
        </w:tc>
        <w:tc>
          <w:tcPr>
            <w:tcW w:w="2100" w:type="dxa"/>
            <w:shd w:val="clear" w:color="auto" w:fill="F2F4F7"/>
            <w:vAlign w:val="center"/>
          </w:tcPr>
          <w:p>
            <w:pPr>
              <w:spacing w:before="20" w:after="20"/>
              <w:jc w:val="right"/>
            </w:pPr>
            <w:r>
              <w:rPr>
                <w:sz w:val="16"/>
                <w:szCs w:val="16"/>
              </w:rPr>
              <w:t xml:space="preserve">0,02</w:t>
            </w:r>
          </w:p>
        </w:tc>
        <w:tc>
          <w:tcPr>
            <w:tcW w:w="2100" w:type="dxa"/>
            <w:shd w:val="clear" w:color="auto" w:fill="F2F4F7"/>
            <w:vAlign w:val="center"/>
          </w:tcPr>
          <w:p>
            <w:pPr>
              <w:spacing w:before="20" w:after="20"/>
              <w:jc w:val="right"/>
            </w:pPr>
            <w:r>
              <w:rPr>
                <w:sz w:val="16"/>
                <w:szCs w:val="16"/>
              </w:rPr>
              <w:t xml:space="preserve">0,10</w:t>
            </w:r>
          </w:p>
        </w:tc>
        <w:tc>
          <w:tcPr>
            <w:tcW w:w="2100" w:type="dxa"/>
            <w:shd w:val="clear" w:color="auto" w:fill="F2F4F7"/>
            <w:vAlign w:val="center"/>
          </w:tcPr>
          <w:p>
            <w:pPr>
              <w:spacing w:before="20" w:after="20"/>
              <w:jc w:val="right"/>
            </w:pPr>
            <w:r>
              <w:rPr>
                <w:sz w:val="16"/>
                <w:szCs w:val="16"/>
              </w:rPr>
              <w:t xml:space="preserve">0,09</w:t>
            </w:r>
          </w:p>
        </w:tc>
        <w:tc>
          <w:tcPr>
            <w:tcW w:w="2100" w:type="dxa"/>
            <w:shd w:val="clear" w:color="auto" w:fill="F2F4F7"/>
            <w:vAlign w:val="center"/>
          </w:tcPr>
          <w:p>
            <w:pPr>
              <w:spacing w:before="20" w:after="20"/>
              <w:jc w:val="right"/>
            </w:pPr>
            <w:r>
              <w:rPr>
                <w:sz w:val="16"/>
                <w:szCs w:val="16"/>
              </w:rPr>
              <w:t xml:space="preserve">−0,10</w:t>
            </w:r>
          </w:p>
        </w:tc>
      </w:tr>
      <w:tr>
        <w:trPr>
          <w:cantSplit/>
        </w:trPr>
        <w:tc>
          <w:tcPr>
            <w:tcW w:w="1600" w:type="dxa"/>
            <w:vAlign w:val="center"/>
          </w:tcPr>
          <w:p>
            <w:pPr>
              <w:spacing w:before="20" w:after="20"/>
              <w:jc w:val="left"/>
            </w:pPr>
            <w:r>
              <w:rPr>
                <w:b/>
                <w:sz w:val="16"/>
                <w:szCs w:val="16"/>
              </w:rPr>
              <w:t xml:space="preserve">6 mois</w:t>
            </w:r>
          </w:p>
        </w:tc>
        <w:tc>
          <w:tcPr>
            <w:tcW w:w="2100" w:type="dxa"/>
            <w:vAlign w:val="center"/>
          </w:tcPr>
          <w:p>
            <w:pPr>
              <w:spacing w:before="20" w:after="20"/>
              <w:jc w:val="right"/>
            </w:pPr>
            <w:r>
              <w:rPr>
                <w:sz w:val="16"/>
                <w:szCs w:val="16"/>
              </w:rPr>
              <w:t xml:space="preserve">−0,15</w:t>
            </w:r>
          </w:p>
        </w:tc>
        <w:tc>
          <w:tcPr>
            <w:tcW w:w="2100" w:type="dxa"/>
            <w:vAlign w:val="center"/>
          </w:tcPr>
          <w:p>
            <w:pPr>
              <w:spacing w:before="20" w:after="20"/>
              <w:jc w:val="right"/>
            </w:pPr>
            <w:r>
              <w:rPr>
                <w:sz w:val="16"/>
                <w:szCs w:val="16"/>
              </w:rPr>
              <w:t xml:space="preserve">0,11</w:t>
            </w:r>
          </w:p>
        </w:tc>
        <w:tc>
          <w:tcPr>
            <w:tcW w:w="2100" w:type="dxa"/>
            <w:vAlign w:val="center"/>
          </w:tcPr>
          <w:p>
            <w:pPr>
              <w:spacing w:before="20" w:after="20"/>
              <w:jc w:val="right"/>
            </w:pPr>
            <w:r>
              <w:rPr>
                <w:sz w:val="16"/>
                <w:szCs w:val="16"/>
              </w:rPr>
              <w:t xml:space="preserve">0,16</w:t>
            </w:r>
          </w:p>
        </w:tc>
        <w:tc>
          <w:tcPr>
            <w:tcW w:w="2100" w:type="dxa"/>
            <w:vAlign w:val="center"/>
          </w:tcPr>
          <w:p>
            <w:pPr>
              <w:spacing w:before="20" w:after="20"/>
              <w:jc w:val="right"/>
            </w:pPr>
            <w:r>
              <w:rPr>
                <w:sz w:val="16"/>
                <w:szCs w:val="16"/>
              </w:rPr>
              <w:t xml:space="preserve">−0,29</w:t>
            </w:r>
          </w:p>
        </w:tc>
      </w:tr>
      <w:tr>
        <w:trPr>
          <w:cantSplit/>
        </w:trPr>
        <w:tc>
          <w:tcPr>
            <w:tcW w:w="1600" w:type="dxa"/>
            <w:shd w:val="clear" w:color="auto" w:fill="F2F4F7"/>
            <w:vAlign w:val="center"/>
          </w:tcPr>
          <w:p>
            <w:pPr>
              <w:spacing w:before="20" w:after="20"/>
              <w:jc w:val="left"/>
            </w:pPr>
            <w:r>
              <w:rPr>
                <w:b/>
                <w:sz w:val="16"/>
                <w:szCs w:val="16"/>
              </w:rPr>
              <w:t xml:space="preserve">12 mois</w:t>
            </w:r>
          </w:p>
        </w:tc>
        <w:tc>
          <w:tcPr>
            <w:tcW w:w="2100" w:type="dxa"/>
            <w:shd w:val="clear" w:color="auto" w:fill="F2F4F7"/>
            <w:vAlign w:val="center"/>
          </w:tcPr>
          <w:p>
            <w:pPr>
              <w:spacing w:before="20" w:after="20"/>
              <w:jc w:val="right"/>
            </w:pPr>
            <w:r>
              <w:rPr>
                <w:sz w:val="16"/>
                <w:szCs w:val="16"/>
              </w:rPr>
              <w:t xml:space="preserve">−0,14</w:t>
            </w:r>
          </w:p>
        </w:tc>
        <w:tc>
          <w:tcPr>
            <w:tcW w:w="2100" w:type="dxa"/>
            <w:shd w:val="clear" w:color="auto" w:fill="F2F4F7"/>
            <w:vAlign w:val="center"/>
          </w:tcPr>
          <w:p>
            <w:pPr>
              <w:spacing w:before="20" w:after="20"/>
              <w:jc w:val="right"/>
            </w:pPr>
            <w:r>
              <w:rPr>
                <w:sz w:val="16"/>
                <w:szCs w:val="16"/>
              </w:rPr>
              <w:t xml:space="preserve">0,02</w:t>
            </w:r>
          </w:p>
        </w:tc>
        <w:tc>
          <w:tcPr>
            <w:tcW w:w="2100" w:type="dxa"/>
            <w:shd w:val="clear" w:color="auto" w:fill="F2F4F7"/>
            <w:vAlign w:val="center"/>
          </w:tcPr>
          <w:p>
            <w:pPr>
              <w:spacing w:before="20" w:after="20"/>
              <w:jc w:val="right"/>
            </w:pPr>
            <w:r>
              <w:rPr>
                <w:sz w:val="16"/>
                <w:szCs w:val="16"/>
              </w:rPr>
              <w:t xml:space="preserve">−0,12</w:t>
            </w:r>
          </w:p>
        </w:tc>
        <w:tc>
          <w:tcPr>
            <w:tcW w:w="2100" w:type="dxa"/>
            <w:shd w:val="clear" w:color="auto" w:fill="F2F4F7"/>
            <w:vAlign w:val="center"/>
          </w:tcPr>
          <w:p>
            <w:pPr>
              <w:spacing w:before="20" w:after="20"/>
              <w:jc w:val="right"/>
            </w:pPr>
            <w:r>
              <w:rPr>
                <w:sz w:val="16"/>
                <w:szCs w:val="16"/>
              </w:rPr>
              <w:t xml:space="preserve">−0,20</w:t>
            </w:r>
          </w:p>
        </w:tc>
      </w:tr>
    </w:tbl>
    <w:p>
      <w:pPr>
        <w:spacing w:after="60"/>
      </w:pPr>
      <w:r>
        <w:t xml:space="preserve"/>
      </w:r>
    </w:p>
    <w:p>
      <w:r>
        <w:t xml:space="preserve">Données mensuelles de juin 2012 à août 2026. « Prix → certifiés » = corrélation entre la variation du prix sur k mois et celle des certifiés sur les k mois suivants. À New York, aucun effet n'est détecté dans un sens comme dans l'autre. À Londres, une baisse des certifiés précède une hausse du DF à 6-12 mois (−0,29 et −0,20), sans être significative : les fenêtres se recouvrent et il y a peu de périodes indépendantes. C'est une absence de preuve, pas une preuve d'absence.</w:t>
      </w:r>
    </w:p>
    <w:p>
      <w:pPr>
        <w:pStyle w:val="ListBullet"/>
        <w:numPr>
          <w:ilvl w:val="0"/>
          <w:numId w:val="1"/>
        </w:numPr>
      </w:pPr>
      <w:r>
        <w:t xml:space="preserve">Ce qui fait bouger les certifiés, c'est probablement l'intérêt de livrer. Quand l'écart futures New York − Brazilian Naturals (prix ICO) dépasse sa moyenne des 12 à 24 derniers mois, les certifiés New York tendent à monter dans les 3 à 6 mois (r de 0,40 à 0,49). Le signal est instable : 0,74 en 2012-2016, −0,03 en 2017-2020, 0,51 depuis 2021. Le Brazilian Naturals n'est pas une qualité livrable : à confirmer avec les différentiels des origines livrables et l'écart entre échéances.</w:t>
      </w:r>
    </w:p>
    <w:p>
      <w:pPr>
        <w:pStyle w:val="ListBullet"/>
        <w:numPr>
          <w:ilvl w:val="0"/>
          <w:numId w:val="1"/>
        </w:numPr>
      </w:pPr>
      <w:r>
        <w:t xml:space="preserve">Les certifiés baissent pendant les hausses (4 hausses du KC sur 5, 4 hausses du DF sur 4), mais ne remontent pas forcément pendant les baisses (une seule des quatre baisses complètes du KC). Depuis le sommet de novembre 2025, les certifiés New York sont passés de 0,44 à 0,24 M sacs (fin août 2026) ; ils étaient à 0,84 en février 2025.</w:t>
      </w:r>
    </w:p>
    <w:p>
      <w:pPr>
        <w:pStyle w:val="ListBullet"/>
        <w:numPr>
          <w:ilvl w:val="0"/>
          <w:numId w:val="1"/>
        </w:numPr>
      </w:pPr>
      <w:r>
        <w:t xml:space="preserve">Robusta : certifiés de Londres en baisse sur 6 mois et café physique cher → DF plus haut de 12 % en moyenne 6 mois plus tard, mais sur 10 épisodes qui se recouvrent : un indice, pas un signal de trading. Sous 0,8 M sacs à Londres, le DF est plus volatil (25 % contre 16 %), mais ces mois tombent presque tous en 2023-2026, période de prix élevés : l'effet propre des certifiés n'est pas isolé.</w:t>
      </w:r>
    </w:p>
    <w:p>
      <w:pPr>
        <w:pStyle w:val="Heading2"/>
        <w:keepNext/>
      </w:pPr>
      <w:r>
        <w:t xml:space="preserve">Quand les stocks USDA et les stocks certifiés divergent</w:t>
      </w:r>
    </w:p>
    <w:tbl>
      <w:tblPr>
        <w:tblStyle w:val="Grille"/>
        <w:tblW w:w="96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1300"/>
        <w:gridCol w:w="3000"/>
        <w:gridCol w:w="1100"/>
        <w:gridCol w:w="3100"/>
        <w:gridCol w:w="1100"/>
      </w:tblGrid>
      <w:tr>
        <w:trPr>
          <w:tblHeader/>
        </w:trPr>
        <w:tc>
          <w:tcPr>
            <w:tcW w:w="1300" w:type="dxa"/>
            <w:shd w:val="clear" w:color="auto" w:fill="1F3864"/>
            <w:vAlign w:val="center"/>
          </w:tcPr>
          <w:p>
            <w:pPr>
              <w:spacing w:before="20" w:after="20"/>
              <w:jc w:val="center"/>
            </w:pPr>
            <w:r>
              <w:rPr>
                <w:b/>
                <w:color w:val="FFFFFF"/>
                <w:sz w:val="15"/>
                <w:szCs w:val="15"/>
              </w:rPr>
              <w:t xml:space="preserve">Campagne</w:t>
            </w:r>
          </w:p>
        </w:tc>
        <w:tc>
          <w:tcPr>
            <w:tcW w:w="3000" w:type="dxa"/>
            <w:shd w:val="clear" w:color="auto" w:fill="1F3864"/>
            <w:vAlign w:val="center"/>
          </w:tcPr>
          <w:p>
            <w:pPr>
              <w:spacing w:before="20" w:after="20"/>
              <w:jc w:val="center"/>
            </w:pPr>
            <w:r>
              <w:rPr>
                <w:b/>
                <w:color w:val="FFFFFF"/>
                <w:sz w:val="15"/>
                <w:szCs w:val="15"/>
              </w:rPr>
              <w:t xml:space="preserve">Arabica : STU pays d'origine / certifiés</w:t>
            </w:r>
          </w:p>
        </w:tc>
        <w:tc>
          <w:tcPr>
            <w:tcW w:w="1100" w:type="dxa"/>
            <w:shd w:val="clear" w:color="auto" w:fill="1F3864"/>
            <w:vAlign w:val="center"/>
          </w:tcPr>
          <w:p>
            <w:pPr>
              <w:spacing w:before="20" w:after="20"/>
              <w:jc w:val="center"/>
            </w:pPr>
            <w:r>
              <w:rPr>
                <w:b/>
                <w:color w:val="FFFFFF"/>
                <w:sz w:val="15"/>
                <w:szCs w:val="15"/>
              </w:rPr>
              <w:t xml:space="preserve">KC</w:t>
            </w:r>
          </w:p>
        </w:tc>
        <w:tc>
          <w:tcPr>
            <w:tcW w:w="3100" w:type="dxa"/>
            <w:shd w:val="clear" w:color="auto" w:fill="1F3864"/>
            <w:vAlign w:val="center"/>
          </w:tcPr>
          <w:p>
            <w:pPr>
              <w:spacing w:before="20" w:after="20"/>
              <w:jc w:val="center"/>
            </w:pPr>
            <w:r>
              <w:rPr>
                <w:b/>
                <w:color w:val="FFFFFF"/>
                <w:sz w:val="15"/>
                <w:szCs w:val="15"/>
              </w:rPr>
              <w:t xml:space="preserve">Robusta : STU pays d'origine / certifiés</w:t>
            </w:r>
          </w:p>
        </w:tc>
        <w:tc>
          <w:tcPr>
            <w:tcW w:w="1100" w:type="dxa"/>
            <w:shd w:val="clear" w:color="auto" w:fill="1F3864"/>
            <w:vAlign w:val="center"/>
          </w:tcPr>
          <w:p>
            <w:pPr>
              <w:spacing w:before="20" w:after="20"/>
              <w:jc w:val="center"/>
            </w:pPr>
            <w:r>
              <w:rPr>
                <w:b/>
                <w:color w:val="FFFFFF"/>
                <w:sz w:val="15"/>
                <w:szCs w:val="15"/>
              </w:rPr>
              <w:t xml:space="preserve">DF</w:t>
            </w:r>
          </w:p>
        </w:tc>
      </w:tr>
      <w:tr>
        <w:trPr>
          <w:cantSplit/>
        </w:trPr>
        <w:tc>
          <w:tcPr>
            <w:tcW w:w="1300" w:type="dxa"/>
            <w:vAlign w:val="center"/>
          </w:tcPr>
          <w:p>
            <w:pPr>
              <w:spacing w:before="20" w:after="20"/>
              <w:jc w:val="left"/>
            </w:pPr>
            <w:r>
              <w:rPr>
                <w:b/>
                <w:sz w:val="15"/>
                <w:szCs w:val="15"/>
              </w:rPr>
              <w:t xml:space="preserve">2012/13</w:t>
            </w:r>
          </w:p>
        </w:tc>
        <w:tc>
          <w:tcPr>
            <w:tcW w:w="3000" w:type="dxa"/>
            <w:vAlign w:val="center"/>
          </w:tcPr>
          <w:p>
            <w:pPr>
              <w:spacing w:before="20" w:after="20"/>
              <w:jc w:val="right"/>
            </w:pPr>
            <w:r>
              <w:rPr>
                <w:sz w:val="15"/>
                <w:szCs w:val="15"/>
              </w:rPr>
              <w:t xml:space="preserve">USDA ↑ / NY ↑</w:t>
            </w:r>
          </w:p>
        </w:tc>
        <w:tc>
          <w:tcPr>
            <w:tcW w:w="1100" w:type="dxa"/>
            <w:vAlign w:val="center"/>
          </w:tcPr>
          <w:p>
            <w:pPr>
              <w:spacing w:before="20" w:after="20"/>
              <w:jc w:val="right"/>
            </w:pPr>
            <w:r>
              <w:rPr>
                <w:sz w:val="15"/>
                <w:szCs w:val="15"/>
              </w:rPr>
              <w:t xml:space="preserve">−29 %</w:t>
            </w:r>
          </w:p>
        </w:tc>
        <w:tc>
          <w:tcPr>
            <w:tcW w:w="3100" w:type="dxa"/>
            <w:vAlign w:val="center"/>
          </w:tcPr>
          <w:p>
            <w:pPr>
              <w:spacing w:before="20" w:after="20"/>
              <w:jc w:val="right"/>
            </w:pPr>
            <w:r>
              <w:rPr>
                <w:sz w:val="15"/>
                <w:szCs w:val="15"/>
              </w:rPr>
              <w:t xml:space="preserve">USDA ↑ / Londres ↓</w:t>
            </w:r>
          </w:p>
        </w:tc>
        <w:tc>
          <w:tcPr>
            <w:tcW w:w="1100" w:type="dxa"/>
            <w:vAlign w:val="center"/>
          </w:tcPr>
          <w:p>
            <w:pPr>
              <w:spacing w:before="20" w:after="20"/>
              <w:jc w:val="right"/>
            </w:pPr>
            <w:r>
              <w:rPr>
                <w:sz w:val="15"/>
                <w:szCs w:val="15"/>
              </w:rPr>
              <w:t xml:space="preserve">−3 %</w:t>
            </w:r>
          </w:p>
        </w:tc>
      </w:tr>
      <w:tr>
        <w:trPr>
          <w:cantSplit/>
        </w:trPr>
        <w:tc>
          <w:tcPr>
            <w:tcW w:w="1300" w:type="dxa"/>
            <w:shd w:val="clear" w:color="auto" w:fill="F2F4F7"/>
            <w:vAlign w:val="center"/>
          </w:tcPr>
          <w:p>
            <w:pPr>
              <w:spacing w:before="20" w:after="20"/>
              <w:jc w:val="left"/>
            </w:pPr>
            <w:r>
              <w:rPr>
                <w:b/>
                <w:sz w:val="15"/>
                <w:szCs w:val="15"/>
              </w:rPr>
              <w:t xml:space="preserve">2013/14</w:t>
            </w:r>
          </w:p>
        </w:tc>
        <w:tc>
          <w:tcPr>
            <w:tcW w:w="3000" w:type="dxa"/>
            <w:shd w:val="clear" w:color="auto" w:fill="F2F4F7"/>
            <w:vAlign w:val="center"/>
          </w:tcPr>
          <w:p>
            <w:pPr>
              <w:spacing w:before="20" w:after="20"/>
              <w:jc w:val="right"/>
            </w:pPr>
            <w:r>
              <w:rPr>
                <w:sz w:val="15"/>
                <w:szCs w:val="15"/>
              </w:rPr>
              <w:t xml:space="preserve">USDA ↑ / NY ↓</w:t>
            </w:r>
          </w:p>
        </w:tc>
        <w:tc>
          <w:tcPr>
            <w:tcW w:w="1100" w:type="dxa"/>
            <w:shd w:val="clear" w:color="auto" w:fill="F2F4F7"/>
            <w:vAlign w:val="center"/>
          </w:tcPr>
          <w:p>
            <w:pPr>
              <w:spacing w:before="20" w:after="20"/>
              <w:jc w:val="right"/>
            </w:pPr>
            <w:r>
              <w:rPr>
                <w:sz w:val="15"/>
                <w:szCs w:val="15"/>
              </w:rPr>
              <w:t xml:space="preserve">+15 %</w:t>
            </w:r>
          </w:p>
        </w:tc>
        <w:tc>
          <w:tcPr>
            <w:tcW w:w="3100" w:type="dxa"/>
            <w:shd w:val="clear" w:color="auto" w:fill="F2F4F7"/>
            <w:vAlign w:val="center"/>
          </w:tcPr>
          <w:p>
            <w:pPr>
              <w:spacing w:before="20" w:after="20"/>
              <w:jc w:val="right"/>
            </w:pPr>
            <w:r>
              <w:rPr>
                <w:sz w:val="15"/>
                <w:szCs w:val="15"/>
              </w:rPr>
              <w:t xml:space="preserve">USDA ↑ / Londres ↑</w:t>
            </w:r>
          </w:p>
        </w:tc>
        <w:tc>
          <w:tcPr>
            <w:tcW w:w="1100" w:type="dxa"/>
            <w:shd w:val="clear" w:color="auto" w:fill="F2F4F7"/>
            <w:vAlign w:val="center"/>
          </w:tcPr>
          <w:p>
            <w:pPr>
              <w:spacing w:before="20" w:after="20"/>
              <w:jc w:val="right"/>
            </w:pPr>
            <w:r>
              <w:rPr>
                <w:sz w:val="15"/>
                <w:szCs w:val="15"/>
              </w:rPr>
              <w:t xml:space="preserve">−3 %</w:t>
            </w:r>
          </w:p>
        </w:tc>
      </w:tr>
      <w:tr>
        <w:trPr>
          <w:cantSplit/>
        </w:trPr>
        <w:tc>
          <w:tcPr>
            <w:tcW w:w="1300" w:type="dxa"/>
            <w:vAlign w:val="center"/>
          </w:tcPr>
          <w:p>
            <w:pPr>
              <w:spacing w:before="20" w:after="20"/>
              <w:jc w:val="left"/>
            </w:pPr>
            <w:r>
              <w:rPr>
                <w:b/>
                <w:sz w:val="15"/>
                <w:szCs w:val="15"/>
              </w:rPr>
              <w:t xml:space="preserve">2014/15</w:t>
            </w:r>
          </w:p>
        </w:tc>
        <w:tc>
          <w:tcPr>
            <w:tcW w:w="3000" w:type="dxa"/>
            <w:vAlign w:val="center"/>
          </w:tcPr>
          <w:p>
            <w:pPr>
              <w:spacing w:before="20" w:after="20"/>
              <w:jc w:val="right"/>
            </w:pPr>
            <w:r>
              <w:rPr>
                <w:sz w:val="15"/>
                <w:szCs w:val="15"/>
              </w:rPr>
              <w:t xml:space="preserve">USDA ↓ / NY ↓</w:t>
            </w:r>
          </w:p>
        </w:tc>
        <w:tc>
          <w:tcPr>
            <w:tcW w:w="1100" w:type="dxa"/>
            <w:vAlign w:val="center"/>
          </w:tcPr>
          <w:p>
            <w:pPr>
              <w:spacing w:before="20" w:after="20"/>
              <w:jc w:val="right"/>
            </w:pPr>
            <w:r>
              <w:rPr>
                <w:sz w:val="15"/>
                <w:szCs w:val="15"/>
              </w:rPr>
              <w:t xml:space="preserve">−5 %</w:t>
            </w:r>
          </w:p>
        </w:tc>
        <w:tc>
          <w:tcPr>
            <w:tcW w:w="3100" w:type="dxa"/>
            <w:vAlign w:val="center"/>
          </w:tcPr>
          <w:p>
            <w:pPr>
              <w:spacing w:before="20" w:after="20"/>
              <w:jc w:val="right"/>
            </w:pPr>
            <w:r>
              <w:rPr>
                <w:sz w:val="15"/>
                <w:szCs w:val="15"/>
              </w:rPr>
              <w:t xml:space="preserve">USDA ↑ / Londres ↑</w:t>
            </w:r>
          </w:p>
        </w:tc>
        <w:tc>
          <w:tcPr>
            <w:tcW w:w="1100" w:type="dxa"/>
            <w:vAlign w:val="center"/>
          </w:tcPr>
          <w:p>
            <w:pPr>
              <w:spacing w:before="20" w:after="20"/>
              <w:jc w:val="right"/>
            </w:pPr>
            <w:r>
              <w:rPr>
                <w:sz w:val="15"/>
                <w:szCs w:val="15"/>
              </w:rPr>
              <w:t xml:space="preserve">−2 %</w:t>
            </w:r>
          </w:p>
        </w:tc>
      </w:tr>
      <w:tr>
        <w:trPr>
          <w:cantSplit/>
        </w:trPr>
        <w:tc>
          <w:tcPr>
            <w:tcW w:w="1300" w:type="dxa"/>
            <w:shd w:val="clear" w:color="auto" w:fill="F2F4F7"/>
            <w:vAlign w:val="center"/>
          </w:tcPr>
          <w:p>
            <w:pPr>
              <w:spacing w:before="20" w:after="20"/>
              <w:jc w:val="left"/>
            </w:pPr>
            <w:r>
              <w:rPr>
                <w:b/>
                <w:sz w:val="15"/>
                <w:szCs w:val="15"/>
              </w:rPr>
              <w:t xml:space="preserve">2015/16</w:t>
            </w:r>
          </w:p>
        </w:tc>
        <w:tc>
          <w:tcPr>
            <w:tcW w:w="3000" w:type="dxa"/>
            <w:shd w:val="clear" w:color="auto" w:fill="F2F4F7"/>
            <w:vAlign w:val="center"/>
          </w:tcPr>
          <w:p>
            <w:pPr>
              <w:spacing w:before="20" w:after="20"/>
              <w:jc w:val="right"/>
            </w:pPr>
            <w:r>
              <w:rPr>
                <w:sz w:val="15"/>
                <w:szCs w:val="15"/>
              </w:rPr>
              <w:t xml:space="preserve">USDA ↓ / NY ↓</w:t>
            </w:r>
          </w:p>
        </w:tc>
        <w:tc>
          <w:tcPr>
            <w:tcW w:w="1100" w:type="dxa"/>
            <w:shd w:val="clear" w:color="auto" w:fill="F2F4F7"/>
            <w:vAlign w:val="center"/>
          </w:tcPr>
          <w:p>
            <w:pPr>
              <w:spacing w:before="20" w:after="20"/>
              <w:jc w:val="right"/>
            </w:pPr>
            <w:r>
              <w:rPr>
                <w:sz w:val="15"/>
                <w:szCs w:val="15"/>
              </w:rPr>
              <w:t xml:space="preserve">−14 %</w:t>
            </w:r>
          </w:p>
        </w:tc>
        <w:tc>
          <w:tcPr>
            <w:tcW w:w="3100" w:type="dxa"/>
            <w:shd w:val="clear" w:color="auto" w:fill="F2F4F7"/>
            <w:vAlign w:val="center"/>
          </w:tcPr>
          <w:p>
            <w:pPr>
              <w:spacing w:before="20" w:after="20"/>
              <w:jc w:val="right"/>
            </w:pPr>
            <w:r>
              <w:rPr>
                <w:sz w:val="15"/>
                <w:szCs w:val="15"/>
              </w:rPr>
              <w:t xml:space="preserve">USDA ↓ / Londres ↓</w:t>
            </w:r>
          </w:p>
        </w:tc>
        <w:tc>
          <w:tcPr>
            <w:tcW w:w="1100" w:type="dxa"/>
            <w:shd w:val="clear" w:color="auto" w:fill="F2F4F7"/>
            <w:vAlign w:val="center"/>
          </w:tcPr>
          <w:p>
            <w:pPr>
              <w:spacing w:before="20" w:after="20"/>
              <w:jc w:val="right"/>
            </w:pPr>
            <w:r>
              <w:rPr>
                <w:sz w:val="15"/>
                <w:szCs w:val="15"/>
              </w:rPr>
              <w:t xml:space="preserve">−12 %</w:t>
            </w:r>
          </w:p>
        </w:tc>
      </w:tr>
      <w:tr>
        <w:trPr>
          <w:cantSplit/>
        </w:trPr>
        <w:tc>
          <w:tcPr>
            <w:tcW w:w="1300" w:type="dxa"/>
            <w:vAlign w:val="center"/>
          </w:tcPr>
          <w:p>
            <w:pPr>
              <w:spacing w:before="20" w:after="20"/>
              <w:jc w:val="left"/>
            </w:pPr>
            <w:r>
              <w:rPr>
                <w:b/>
                <w:sz w:val="15"/>
                <w:szCs w:val="15"/>
              </w:rPr>
              <w:t xml:space="preserve">2016/17</w:t>
            </w:r>
          </w:p>
        </w:tc>
        <w:tc>
          <w:tcPr>
            <w:tcW w:w="3000" w:type="dxa"/>
            <w:vAlign w:val="center"/>
          </w:tcPr>
          <w:p>
            <w:pPr>
              <w:spacing w:before="20" w:after="20"/>
              <w:jc w:val="right"/>
            </w:pPr>
            <w:r>
              <w:rPr>
                <w:sz w:val="15"/>
                <w:szCs w:val="15"/>
              </w:rPr>
              <w:t xml:space="preserve">USDA ↑ / NY ↑</w:t>
            </w:r>
          </w:p>
        </w:tc>
        <w:tc>
          <w:tcPr>
            <w:tcW w:w="1100" w:type="dxa"/>
            <w:vAlign w:val="center"/>
          </w:tcPr>
          <w:p>
            <w:pPr>
              <w:spacing w:before="20" w:after="20"/>
              <w:jc w:val="right"/>
            </w:pPr>
            <w:r>
              <w:rPr>
                <w:sz w:val="15"/>
                <w:szCs w:val="15"/>
              </w:rPr>
              <w:t xml:space="preserve">+9 %</w:t>
            </w:r>
          </w:p>
        </w:tc>
        <w:tc>
          <w:tcPr>
            <w:tcW w:w="3100" w:type="dxa"/>
            <w:vAlign w:val="center"/>
          </w:tcPr>
          <w:p>
            <w:pPr>
              <w:spacing w:before="20" w:after="20"/>
              <w:jc w:val="right"/>
            </w:pPr>
            <w:r>
              <w:rPr>
                <w:sz w:val="15"/>
                <w:szCs w:val="15"/>
              </w:rPr>
              <w:t xml:space="preserve">USDA ↓ / Londres ↑</w:t>
            </w:r>
          </w:p>
        </w:tc>
        <w:tc>
          <w:tcPr>
            <w:tcW w:w="1100" w:type="dxa"/>
            <w:vAlign w:val="center"/>
          </w:tcPr>
          <w:p>
            <w:pPr>
              <w:spacing w:before="20" w:after="20"/>
              <w:jc w:val="right"/>
            </w:pPr>
            <w:r>
              <w:rPr>
                <w:sz w:val="15"/>
                <w:szCs w:val="15"/>
              </w:rPr>
              <w:t xml:space="preserve">+28 %</w:t>
            </w:r>
          </w:p>
        </w:tc>
      </w:tr>
      <w:tr>
        <w:trPr>
          <w:cantSplit/>
        </w:trPr>
        <w:tc>
          <w:tcPr>
            <w:tcW w:w="1300" w:type="dxa"/>
            <w:shd w:val="clear" w:color="auto" w:fill="F2F4F7"/>
            <w:vAlign w:val="center"/>
          </w:tcPr>
          <w:p>
            <w:pPr>
              <w:spacing w:before="20" w:after="20"/>
              <w:jc w:val="left"/>
            </w:pPr>
            <w:r>
              <w:rPr>
                <w:b/>
                <w:sz w:val="15"/>
                <w:szCs w:val="15"/>
              </w:rPr>
              <w:t xml:space="preserve">2017/18</w:t>
            </w:r>
          </w:p>
        </w:tc>
        <w:tc>
          <w:tcPr>
            <w:tcW w:w="3000" w:type="dxa"/>
            <w:shd w:val="clear" w:color="auto" w:fill="F2F4F7"/>
            <w:vAlign w:val="center"/>
          </w:tcPr>
          <w:p>
            <w:pPr>
              <w:spacing w:before="20" w:after="20"/>
              <w:jc w:val="right"/>
            </w:pPr>
            <w:r>
              <w:rPr>
                <w:sz w:val="15"/>
                <w:szCs w:val="15"/>
              </w:rPr>
              <w:t xml:space="preserve">USDA ↓ / NY ↑</w:t>
            </w:r>
          </w:p>
        </w:tc>
        <w:tc>
          <w:tcPr>
            <w:tcW w:w="1100" w:type="dxa"/>
            <w:shd w:val="clear" w:color="auto" w:fill="F2F4F7"/>
            <w:vAlign w:val="center"/>
          </w:tcPr>
          <w:p>
            <w:pPr>
              <w:spacing w:before="20" w:after="20"/>
              <w:jc w:val="right"/>
            </w:pPr>
            <w:r>
              <w:rPr>
                <w:sz w:val="15"/>
                <w:szCs w:val="15"/>
              </w:rPr>
              <w:t xml:space="preserve">−16 %</w:t>
            </w:r>
          </w:p>
        </w:tc>
        <w:tc>
          <w:tcPr>
            <w:tcW w:w="3100" w:type="dxa"/>
            <w:shd w:val="clear" w:color="auto" w:fill="F2F4F7"/>
            <w:vAlign w:val="center"/>
          </w:tcPr>
          <w:p>
            <w:pPr>
              <w:spacing w:before="20" w:after="20"/>
              <w:jc w:val="right"/>
            </w:pPr>
            <w:r>
              <w:rPr>
                <w:sz w:val="15"/>
                <w:szCs w:val="15"/>
              </w:rPr>
              <w:t xml:space="preserve">USDA ↓ / Londres ↓</w:t>
            </w:r>
          </w:p>
        </w:tc>
        <w:tc>
          <w:tcPr>
            <w:tcW w:w="1100" w:type="dxa"/>
            <w:shd w:val="clear" w:color="auto" w:fill="F2F4F7"/>
            <w:vAlign w:val="center"/>
          </w:tcPr>
          <w:p>
            <w:pPr>
              <w:spacing w:before="20" w:after="20"/>
              <w:jc w:val="right"/>
            </w:pPr>
            <w:r>
              <w:rPr>
                <w:sz w:val="15"/>
                <w:szCs w:val="15"/>
              </w:rPr>
              <w:t xml:space="preserve">−18 %</w:t>
            </w:r>
          </w:p>
        </w:tc>
      </w:tr>
      <w:tr>
        <w:trPr>
          <w:cantSplit/>
        </w:trPr>
        <w:tc>
          <w:tcPr>
            <w:tcW w:w="1300" w:type="dxa"/>
            <w:vAlign w:val="center"/>
          </w:tcPr>
          <w:p>
            <w:pPr>
              <w:spacing w:before="20" w:after="20"/>
              <w:jc w:val="left"/>
            </w:pPr>
            <w:r>
              <w:rPr>
                <w:b/>
                <w:sz w:val="15"/>
                <w:szCs w:val="15"/>
              </w:rPr>
              <w:t xml:space="preserve">2018/19</w:t>
            </w:r>
          </w:p>
        </w:tc>
        <w:tc>
          <w:tcPr>
            <w:tcW w:w="3000" w:type="dxa"/>
            <w:vAlign w:val="center"/>
          </w:tcPr>
          <w:p>
            <w:pPr>
              <w:spacing w:before="20" w:after="20"/>
              <w:jc w:val="right"/>
            </w:pPr>
            <w:r>
              <w:rPr>
                <w:sz w:val="15"/>
                <w:szCs w:val="15"/>
              </w:rPr>
              <w:t xml:space="preserve">USDA ↓ / NY ↓</w:t>
            </w:r>
          </w:p>
        </w:tc>
        <w:tc>
          <w:tcPr>
            <w:tcW w:w="1100" w:type="dxa"/>
            <w:vAlign w:val="center"/>
          </w:tcPr>
          <w:p>
            <w:pPr>
              <w:spacing w:before="20" w:after="20"/>
              <w:jc w:val="right"/>
            </w:pPr>
            <w:r>
              <w:rPr>
                <w:sz w:val="15"/>
                <w:szCs w:val="15"/>
              </w:rPr>
              <w:t xml:space="preserve">−13 %</w:t>
            </w:r>
          </w:p>
        </w:tc>
        <w:tc>
          <w:tcPr>
            <w:tcW w:w="3100" w:type="dxa"/>
            <w:vAlign w:val="center"/>
          </w:tcPr>
          <w:p>
            <w:pPr>
              <w:spacing w:before="20" w:after="20"/>
              <w:jc w:val="right"/>
            </w:pPr>
            <w:r>
              <w:rPr>
                <w:sz w:val="15"/>
                <w:szCs w:val="15"/>
              </w:rPr>
              <w:t xml:space="preserve">USDA ↑ / Londres ↑</w:t>
            </w:r>
          </w:p>
        </w:tc>
        <w:tc>
          <w:tcPr>
            <w:tcW w:w="1100" w:type="dxa"/>
            <w:vAlign w:val="center"/>
          </w:tcPr>
          <w:p>
            <w:pPr>
              <w:spacing w:before="20" w:after="20"/>
              <w:jc w:val="right"/>
            </w:pPr>
            <w:r>
              <w:rPr>
                <w:sz w:val="15"/>
                <w:szCs w:val="15"/>
              </w:rPr>
              <w:t xml:space="preserve">−14 %</w:t>
            </w:r>
          </w:p>
        </w:tc>
      </w:tr>
      <w:tr>
        <w:trPr>
          <w:cantSplit/>
        </w:trPr>
        <w:tc>
          <w:tcPr>
            <w:tcW w:w="1300" w:type="dxa"/>
            <w:shd w:val="clear" w:color="auto" w:fill="F2F4F7"/>
            <w:vAlign w:val="center"/>
          </w:tcPr>
          <w:p>
            <w:pPr>
              <w:spacing w:before="20" w:after="20"/>
              <w:jc w:val="left"/>
            </w:pPr>
            <w:r>
              <w:rPr>
                <w:b/>
                <w:sz w:val="15"/>
                <w:szCs w:val="15"/>
              </w:rPr>
              <w:t xml:space="preserve">2019/20</w:t>
            </w:r>
          </w:p>
        </w:tc>
        <w:tc>
          <w:tcPr>
            <w:tcW w:w="3000" w:type="dxa"/>
            <w:shd w:val="clear" w:color="auto" w:fill="F2F4F7"/>
            <w:vAlign w:val="center"/>
          </w:tcPr>
          <w:p>
            <w:pPr>
              <w:spacing w:before="20" w:after="20"/>
              <w:jc w:val="right"/>
            </w:pPr>
            <w:r>
              <w:rPr>
                <w:sz w:val="15"/>
                <w:szCs w:val="15"/>
              </w:rPr>
              <w:t xml:space="preserve">USDA ↓ / NY ↓</w:t>
            </w:r>
          </w:p>
        </w:tc>
        <w:tc>
          <w:tcPr>
            <w:tcW w:w="1100" w:type="dxa"/>
            <w:shd w:val="clear" w:color="auto" w:fill="F2F4F7"/>
            <w:vAlign w:val="center"/>
          </w:tcPr>
          <w:p>
            <w:pPr>
              <w:spacing w:before="20" w:after="20"/>
              <w:jc w:val="right"/>
            </w:pPr>
            <w:r>
              <w:rPr>
                <w:sz w:val="15"/>
                <w:szCs w:val="15"/>
              </w:rPr>
              <w:t xml:space="preserve">+8 %</w:t>
            </w:r>
          </w:p>
        </w:tc>
        <w:tc>
          <w:tcPr>
            <w:tcW w:w="3100" w:type="dxa"/>
            <w:shd w:val="clear" w:color="auto" w:fill="F2F4F7"/>
            <w:vAlign w:val="center"/>
          </w:tcPr>
          <w:p>
            <w:pPr>
              <w:spacing w:before="20" w:after="20"/>
              <w:jc w:val="right"/>
            </w:pPr>
            <w:r>
              <w:rPr>
                <w:sz w:val="15"/>
                <w:szCs w:val="15"/>
              </w:rPr>
              <w:t xml:space="preserve">USDA ↑ / Londres ↓</w:t>
            </w:r>
          </w:p>
        </w:tc>
        <w:tc>
          <w:tcPr>
            <w:tcW w:w="1100" w:type="dxa"/>
            <w:shd w:val="clear" w:color="auto" w:fill="F2F4F7"/>
            <w:vAlign w:val="center"/>
          </w:tcPr>
          <w:p>
            <w:pPr>
              <w:spacing w:before="20" w:after="20"/>
              <w:jc w:val="right"/>
            </w:pPr>
            <w:r>
              <w:rPr>
                <w:sz w:val="15"/>
                <w:szCs w:val="15"/>
              </w:rPr>
              <w:t xml:space="preserve">−12 %</w:t>
            </w:r>
          </w:p>
        </w:tc>
      </w:tr>
      <w:tr>
        <w:trPr>
          <w:cantSplit/>
        </w:trPr>
        <w:tc>
          <w:tcPr>
            <w:tcW w:w="1300" w:type="dxa"/>
            <w:vAlign w:val="center"/>
          </w:tcPr>
          <w:p>
            <w:pPr>
              <w:spacing w:before="20" w:after="20"/>
              <w:jc w:val="left"/>
            </w:pPr>
            <w:r>
              <w:rPr>
                <w:b/>
                <w:sz w:val="15"/>
                <w:szCs w:val="15"/>
              </w:rPr>
              <w:t xml:space="preserve">2020/21</w:t>
            </w:r>
          </w:p>
        </w:tc>
        <w:tc>
          <w:tcPr>
            <w:tcW w:w="3000" w:type="dxa"/>
            <w:vAlign w:val="center"/>
          </w:tcPr>
          <w:p>
            <w:pPr>
              <w:spacing w:before="20" w:after="20"/>
              <w:jc w:val="right"/>
            </w:pPr>
            <w:r>
              <w:rPr>
                <w:sz w:val="15"/>
                <w:szCs w:val="15"/>
              </w:rPr>
              <w:t xml:space="preserve">USDA ↑ / NY ↑</w:t>
            </w:r>
          </w:p>
        </w:tc>
        <w:tc>
          <w:tcPr>
            <w:tcW w:w="1100" w:type="dxa"/>
            <w:vAlign w:val="center"/>
          </w:tcPr>
          <w:p>
            <w:pPr>
              <w:spacing w:before="20" w:after="20"/>
              <w:jc w:val="right"/>
            </w:pPr>
            <w:r>
              <w:rPr>
                <w:sz w:val="15"/>
                <w:szCs w:val="15"/>
              </w:rPr>
              <w:t xml:space="preserve">+27 %</w:t>
            </w:r>
          </w:p>
        </w:tc>
        <w:tc>
          <w:tcPr>
            <w:tcW w:w="3100" w:type="dxa"/>
            <w:vAlign w:val="center"/>
          </w:tcPr>
          <w:p>
            <w:pPr>
              <w:spacing w:before="20" w:after="20"/>
              <w:jc w:val="right"/>
            </w:pPr>
            <w:r>
              <w:rPr>
                <w:sz w:val="15"/>
                <w:szCs w:val="15"/>
              </w:rPr>
              <w:t xml:space="preserve">USDA ↑ / Londres ↑</w:t>
            </w:r>
          </w:p>
        </w:tc>
        <w:tc>
          <w:tcPr>
            <w:tcW w:w="1100" w:type="dxa"/>
            <w:vAlign w:val="center"/>
          </w:tcPr>
          <w:p>
            <w:pPr>
              <w:spacing w:before="20" w:after="20"/>
              <w:jc w:val="right"/>
            </w:pPr>
            <w:r>
              <w:rPr>
                <w:sz w:val="15"/>
                <w:szCs w:val="15"/>
              </w:rPr>
              <w:t xml:space="preserve">+18 %</w:t>
            </w:r>
          </w:p>
        </w:tc>
      </w:tr>
      <w:tr>
        <w:trPr>
          <w:cantSplit/>
        </w:trPr>
        <w:tc>
          <w:tcPr>
            <w:tcW w:w="1300" w:type="dxa"/>
            <w:shd w:val="clear" w:color="auto" w:fill="F2F4F7"/>
            <w:vAlign w:val="center"/>
          </w:tcPr>
          <w:p>
            <w:pPr>
              <w:spacing w:before="20" w:after="20"/>
              <w:jc w:val="left"/>
            </w:pPr>
            <w:r>
              <w:rPr>
                <w:b/>
                <w:sz w:val="15"/>
                <w:szCs w:val="15"/>
              </w:rPr>
              <w:t xml:space="preserve">2021/22</w:t>
            </w:r>
          </w:p>
        </w:tc>
        <w:tc>
          <w:tcPr>
            <w:tcW w:w="3000" w:type="dxa"/>
            <w:shd w:val="clear" w:color="auto" w:fill="F2F4F7"/>
            <w:vAlign w:val="center"/>
          </w:tcPr>
          <w:p>
            <w:pPr>
              <w:spacing w:before="20" w:after="20"/>
              <w:jc w:val="right"/>
            </w:pPr>
            <w:r>
              <w:rPr>
                <w:sz w:val="15"/>
                <w:szCs w:val="15"/>
              </w:rPr>
              <w:t xml:space="preserve">USDA ↓ / NY ↓</w:t>
            </w:r>
          </w:p>
        </w:tc>
        <w:tc>
          <w:tcPr>
            <w:tcW w:w="1100" w:type="dxa"/>
            <w:shd w:val="clear" w:color="auto" w:fill="F2F4F7"/>
            <w:vAlign w:val="center"/>
          </w:tcPr>
          <w:p>
            <w:pPr>
              <w:spacing w:before="20" w:after="20"/>
              <w:jc w:val="right"/>
            </w:pPr>
            <w:r>
              <w:rPr>
                <w:sz w:val="15"/>
                <w:szCs w:val="15"/>
              </w:rPr>
              <w:t xml:space="preserve">+56 %</w:t>
            </w:r>
          </w:p>
        </w:tc>
        <w:tc>
          <w:tcPr>
            <w:tcW w:w="3100" w:type="dxa"/>
            <w:shd w:val="clear" w:color="auto" w:fill="F2F4F7"/>
            <w:vAlign w:val="center"/>
          </w:tcPr>
          <w:p>
            <w:pPr>
              <w:spacing w:before="20" w:after="20"/>
              <w:jc w:val="right"/>
            </w:pPr>
            <w:r>
              <w:rPr>
                <w:sz w:val="15"/>
                <w:szCs w:val="15"/>
              </w:rPr>
              <w:t xml:space="preserve">USDA ↓ / Londres ↓</w:t>
            </w:r>
          </w:p>
        </w:tc>
        <w:tc>
          <w:tcPr>
            <w:tcW w:w="1100" w:type="dxa"/>
            <w:shd w:val="clear" w:color="auto" w:fill="F2F4F7"/>
            <w:vAlign w:val="center"/>
          </w:tcPr>
          <w:p>
            <w:pPr>
              <w:spacing w:before="20" w:after="20"/>
              <w:jc w:val="right"/>
            </w:pPr>
            <w:r>
              <w:rPr>
                <w:sz w:val="15"/>
                <w:szCs w:val="15"/>
              </w:rPr>
              <w:t xml:space="preserve">+40 %</w:t>
            </w:r>
          </w:p>
        </w:tc>
      </w:tr>
      <w:tr>
        <w:trPr>
          <w:cantSplit/>
        </w:trPr>
        <w:tc>
          <w:tcPr>
            <w:tcW w:w="1300" w:type="dxa"/>
            <w:vAlign w:val="center"/>
          </w:tcPr>
          <w:p>
            <w:pPr>
              <w:spacing w:before="20" w:after="20"/>
              <w:jc w:val="left"/>
            </w:pPr>
            <w:r>
              <w:rPr>
                <w:b/>
                <w:sz w:val="15"/>
                <w:szCs w:val="15"/>
              </w:rPr>
              <w:t xml:space="preserve">2022/23</w:t>
            </w:r>
          </w:p>
        </w:tc>
        <w:tc>
          <w:tcPr>
            <w:tcW w:w="3000" w:type="dxa"/>
            <w:vAlign w:val="center"/>
          </w:tcPr>
          <w:p>
            <w:pPr>
              <w:spacing w:before="20" w:after="20"/>
              <w:jc w:val="right"/>
            </w:pPr>
            <w:r>
              <w:rPr>
                <w:sz w:val="15"/>
                <w:szCs w:val="15"/>
              </w:rPr>
              <w:t xml:space="preserve">USDA ↑ / NY ↑</w:t>
            </w:r>
          </w:p>
        </w:tc>
        <w:tc>
          <w:tcPr>
            <w:tcW w:w="1100" w:type="dxa"/>
            <w:vAlign w:val="center"/>
          </w:tcPr>
          <w:p>
            <w:pPr>
              <w:spacing w:before="20" w:after="20"/>
              <w:jc w:val="right"/>
            </w:pPr>
            <w:r>
              <w:rPr>
                <w:sz w:val="15"/>
                <w:szCs w:val="15"/>
              </w:rPr>
              <w:t xml:space="preserve">−24 %</w:t>
            </w:r>
          </w:p>
        </w:tc>
        <w:tc>
          <w:tcPr>
            <w:tcW w:w="3100" w:type="dxa"/>
            <w:vAlign w:val="center"/>
          </w:tcPr>
          <w:p>
            <w:pPr>
              <w:spacing w:before="20" w:after="20"/>
              <w:jc w:val="right"/>
            </w:pPr>
            <w:r>
              <w:rPr>
                <w:sz w:val="15"/>
                <w:szCs w:val="15"/>
              </w:rPr>
              <w:t xml:space="preserve">USDA ↓ / Londres ↓</w:t>
            </w:r>
          </w:p>
        </w:tc>
        <w:tc>
          <w:tcPr>
            <w:tcW w:w="1100" w:type="dxa"/>
            <w:vAlign w:val="center"/>
          </w:tcPr>
          <w:p>
            <w:pPr>
              <w:spacing w:before="20" w:after="20"/>
              <w:jc w:val="right"/>
            </w:pPr>
            <w:r>
              <w:rPr>
                <w:sz w:val="15"/>
                <w:szCs w:val="15"/>
              </w:rPr>
              <w:t xml:space="preserve">+3 %</w:t>
            </w:r>
          </w:p>
        </w:tc>
      </w:tr>
      <w:tr>
        <w:trPr>
          <w:cantSplit/>
        </w:trPr>
        <w:tc>
          <w:tcPr>
            <w:tcW w:w="1300" w:type="dxa"/>
            <w:shd w:val="clear" w:color="auto" w:fill="F2F4F7"/>
            <w:vAlign w:val="center"/>
          </w:tcPr>
          <w:p>
            <w:pPr>
              <w:spacing w:before="20" w:after="20"/>
              <w:jc w:val="left"/>
            </w:pPr>
            <w:r>
              <w:rPr>
                <w:b/>
                <w:sz w:val="15"/>
                <w:szCs w:val="15"/>
              </w:rPr>
              <w:t xml:space="preserve">2023/24</w:t>
            </w:r>
          </w:p>
        </w:tc>
        <w:tc>
          <w:tcPr>
            <w:tcW w:w="3000" w:type="dxa"/>
            <w:shd w:val="clear" w:color="auto" w:fill="F2F4F7"/>
            <w:vAlign w:val="center"/>
          </w:tcPr>
          <w:p>
            <w:pPr>
              <w:spacing w:before="20" w:after="20"/>
              <w:jc w:val="right"/>
            </w:pPr>
            <w:r>
              <w:rPr>
                <w:sz w:val="15"/>
                <w:szCs w:val="15"/>
              </w:rPr>
              <w:t xml:space="preserve">USDA ↓ / NY ↑</w:t>
            </w:r>
          </w:p>
        </w:tc>
        <w:tc>
          <w:tcPr>
            <w:tcW w:w="1100" w:type="dxa"/>
            <w:shd w:val="clear" w:color="auto" w:fill="F2F4F7"/>
            <w:vAlign w:val="center"/>
          </w:tcPr>
          <w:p>
            <w:pPr>
              <w:spacing w:before="20" w:after="20"/>
              <w:jc w:val="right"/>
            </w:pPr>
            <w:r>
              <w:rPr>
                <w:sz w:val="15"/>
                <w:szCs w:val="15"/>
              </w:rPr>
              <w:t xml:space="preserve">+19 %</w:t>
            </w:r>
          </w:p>
        </w:tc>
        <w:tc>
          <w:tcPr>
            <w:tcW w:w="3100" w:type="dxa"/>
            <w:shd w:val="clear" w:color="auto" w:fill="F2F4F7"/>
            <w:vAlign w:val="center"/>
          </w:tcPr>
          <w:p>
            <w:pPr>
              <w:spacing w:before="20" w:after="20"/>
              <w:jc w:val="right"/>
            </w:pPr>
            <w:r>
              <w:rPr>
                <w:sz w:val="15"/>
                <w:szCs w:val="15"/>
              </w:rPr>
              <w:t xml:space="preserve">USDA ↓ / Londres ↑</w:t>
            </w:r>
          </w:p>
        </w:tc>
        <w:tc>
          <w:tcPr>
            <w:tcW w:w="1100" w:type="dxa"/>
            <w:shd w:val="clear" w:color="auto" w:fill="F2F4F7"/>
            <w:vAlign w:val="center"/>
          </w:tcPr>
          <w:p>
            <w:pPr>
              <w:spacing w:before="20" w:after="20"/>
              <w:jc w:val="right"/>
            </w:pPr>
            <w:r>
              <w:rPr>
                <w:sz w:val="15"/>
                <w:szCs w:val="15"/>
              </w:rPr>
              <w:t xml:space="preserve">+58 %</w:t>
            </w:r>
          </w:p>
        </w:tc>
      </w:tr>
      <w:tr>
        <w:trPr>
          <w:cantSplit/>
        </w:trPr>
        <w:tc>
          <w:tcPr>
            <w:tcW w:w="1300" w:type="dxa"/>
            <w:vAlign w:val="center"/>
          </w:tcPr>
          <w:p>
            <w:pPr>
              <w:spacing w:before="20" w:after="20"/>
              <w:jc w:val="left"/>
            </w:pPr>
            <w:r>
              <w:rPr>
                <w:b/>
                <w:sz w:val="15"/>
                <w:szCs w:val="15"/>
              </w:rPr>
              <w:t xml:space="preserve">2024/25</w:t>
            </w:r>
          </w:p>
        </w:tc>
        <w:tc>
          <w:tcPr>
            <w:tcW w:w="3000" w:type="dxa"/>
            <w:vAlign w:val="center"/>
          </w:tcPr>
          <w:p>
            <w:pPr>
              <w:spacing w:before="20" w:after="20"/>
              <w:jc w:val="right"/>
            </w:pPr>
            <w:r>
              <w:rPr>
                <w:sz w:val="15"/>
                <w:szCs w:val="15"/>
              </w:rPr>
              <w:t xml:space="preserve">USDA ↓ / NY ↓</w:t>
            </w:r>
          </w:p>
        </w:tc>
        <w:tc>
          <w:tcPr>
            <w:tcW w:w="1100" w:type="dxa"/>
            <w:vAlign w:val="center"/>
          </w:tcPr>
          <w:p>
            <w:pPr>
              <w:spacing w:before="20" w:after="20"/>
              <w:jc w:val="right"/>
            </w:pPr>
            <w:r>
              <w:rPr>
                <w:sz w:val="15"/>
                <w:szCs w:val="15"/>
              </w:rPr>
              <w:t xml:space="preserve">+63 %</w:t>
            </w:r>
          </w:p>
        </w:tc>
        <w:tc>
          <w:tcPr>
            <w:tcW w:w="3100" w:type="dxa"/>
            <w:vAlign w:val="center"/>
          </w:tcPr>
          <w:p>
            <w:pPr>
              <w:spacing w:before="20" w:after="20"/>
              <w:jc w:val="right"/>
            </w:pPr>
            <w:r>
              <w:rPr>
                <w:sz w:val="15"/>
                <w:szCs w:val="15"/>
              </w:rPr>
              <w:t xml:space="preserve">USDA ↑ / Londres ↑</w:t>
            </w:r>
          </w:p>
        </w:tc>
        <w:tc>
          <w:tcPr>
            <w:tcW w:w="1100" w:type="dxa"/>
            <w:vAlign w:val="center"/>
          </w:tcPr>
          <w:p>
            <w:pPr>
              <w:spacing w:before="20" w:after="20"/>
              <w:jc w:val="right"/>
            </w:pPr>
            <w:r>
              <w:rPr>
                <w:sz w:val="15"/>
                <w:szCs w:val="15"/>
              </w:rPr>
              <w:t xml:space="preserve">+34 %</w:t>
            </w:r>
          </w:p>
        </w:tc>
      </w:tr>
      <w:tr>
        <w:trPr>
          <w:cantSplit/>
        </w:trPr>
        <w:tc>
          <w:tcPr>
            <w:tcW w:w="1300" w:type="dxa"/>
            <w:shd w:val="clear" w:color="auto" w:fill="F2F4F7"/>
            <w:vAlign w:val="center"/>
          </w:tcPr>
          <w:p>
            <w:pPr>
              <w:spacing w:before="20" w:after="20"/>
              <w:jc w:val="left"/>
            </w:pPr>
            <w:r>
              <w:rPr>
                <w:b/>
                <w:sz w:val="15"/>
                <w:szCs w:val="15"/>
              </w:rPr>
              <w:t xml:space="preserve">2025/26</w:t>
            </w:r>
          </w:p>
        </w:tc>
        <w:tc>
          <w:tcPr>
            <w:tcW w:w="3000" w:type="dxa"/>
            <w:shd w:val="clear" w:color="auto" w:fill="F2F4F7"/>
            <w:vAlign w:val="center"/>
          </w:tcPr>
          <w:p>
            <w:pPr>
              <w:spacing w:before="20" w:after="20"/>
              <w:jc w:val="right"/>
            </w:pPr>
            <w:r>
              <w:rPr>
                <w:sz w:val="15"/>
                <w:szCs w:val="15"/>
              </w:rPr>
              <w:t xml:space="preserve">USDA ↑ / NY ↓</w:t>
            </w:r>
          </w:p>
        </w:tc>
        <w:tc>
          <w:tcPr>
            <w:tcW w:w="1100" w:type="dxa"/>
            <w:shd w:val="clear" w:color="auto" w:fill="F2F4F7"/>
            <w:vAlign w:val="center"/>
          </w:tcPr>
          <w:p>
            <w:pPr>
              <w:spacing w:before="20" w:after="20"/>
              <w:jc w:val="right"/>
            </w:pPr>
            <w:r>
              <w:rPr>
                <w:sz w:val="15"/>
                <w:szCs w:val="15"/>
              </w:rPr>
              <w:t xml:space="preserve">−6 %</w:t>
            </w:r>
          </w:p>
        </w:tc>
        <w:tc>
          <w:tcPr>
            <w:tcW w:w="3100" w:type="dxa"/>
            <w:shd w:val="clear" w:color="auto" w:fill="F2F4F7"/>
            <w:vAlign w:val="center"/>
          </w:tcPr>
          <w:p>
            <w:pPr>
              <w:spacing w:before="20" w:after="20"/>
              <w:jc w:val="right"/>
            </w:pPr>
            <w:r>
              <w:rPr>
                <w:sz w:val="15"/>
                <w:szCs w:val="15"/>
              </w:rPr>
              <w:t xml:space="preserve">USDA ↑ / Londres ↓</w:t>
            </w:r>
          </w:p>
        </w:tc>
        <w:tc>
          <w:tcPr>
            <w:tcW w:w="1100" w:type="dxa"/>
            <w:shd w:val="clear" w:color="auto" w:fill="F2F4F7"/>
            <w:vAlign w:val="center"/>
          </w:tcPr>
          <w:p>
            <w:pPr>
              <w:spacing w:before="20" w:after="20"/>
              <w:jc w:val="right"/>
            </w:pPr>
            <w:r>
              <w:rPr>
                <w:sz w:val="15"/>
                <w:szCs w:val="15"/>
              </w:rPr>
              <w:t xml:space="preserve">−19 %</w:t>
            </w:r>
          </w:p>
        </w:tc>
      </w:tr>
    </w:tbl>
    <w:p>
      <w:pPr>
        <w:spacing w:after="60"/>
      </w:pPr>
      <w:r>
        <w:t xml:space="preserve"/>
      </w:r>
    </w:p>
    <w:p>
      <w:r>
        <w:t xml:space="preserve">Stocks USDA en hausse et certifiés en baisse : arabica 2013/14 (+15 %), 2025/26 (−6 %) ; robusta 2012/13 (−3 %), 2019/20 (−12 %), 2025/26 (−19 %). Stocks USDA en baisse et certifiés en hausse : arabica 2017/18 (−16 %), 2023/24 (+19 %) ; robusta 2016/17 (+28 %), 2023/24 (+58 %).</w:t>
      </w:r>
    </w:p>
    <w:p>
      <w:r>
        <w:t xml:space="preserve">Lecture : pour le robusta, les cinq divergences ont suivi le sens des stocks USDA (certifiés en baisse mais stocks USDA en hausse → DF en baisse). Pour l'arabica, il n'y a pas de règle. En vue mondiale (New York + Londres), 2024/25 apparaît « certifiés en hausse », mais c'est Londres qui monte (0,74 → 1,08 M sacs) pendant que New York baisse (0,87 → 0,62) ; la variation totale est négligeable (+0,01 point). Une explication possible, non démontrée : les certifiés baissent quand livrer en bourse ne paie pas, ce qui ne signale pas forcément une pénurie. Ce qui compte d'abord, c'est le niveau des stocks (section 4), pas le sens de leur variation d'une année : ce sens n'a donné celui du KC que 8 campagnes sur 14, celui du DF 9 à 10 fois sur 14.</w:t>
      </w:r>
    </w:p>
    <w:p>
      <w:r>
        <w:br w:type="page"/>
      </w:r>
    </w:p>
    <w:p>
      <w:pPr>
        <w:pStyle w:val="Heading1"/>
        <w:keepNext/>
      </w:pPr>
      <w:r>
        <w:t xml:space="preserve">6. Cycles de production et prévision du prix</w:t>
      </w:r>
    </w:p>
    <w:p>
      <w:pPr>
        <w:pStyle w:val="Heading2"/>
        <w:keepNext/>
      </w:pPr>
      <w:r>
        <w:t xml:space="preserve">Le cycle de la production</w:t>
      </w:r>
    </w:p>
    <w:p>
      <w:pPr>
        <w:pStyle w:val="ListBullet"/>
        <w:numPr>
          <w:ilvl w:val="0"/>
          <w:numId w:val="1"/>
        </w:numPr>
      </w:pPr>
      <w:r>
        <w:t xml:space="preserve">Brésil arabica : alternance année haute / année basse. Les variations successives sont corrélées à −0,66 (une hausse est suivie d'une baisse) ; le sens s'inverse 11 fois sur 15. Le signal existe mais reste statistiquement fragile sur 17 campagnes, et la météo le casse (sécheresse 2014, gel 2021).</w:t>
      </w:r>
    </w:p>
    <w:p>
      <w:pPr>
        <w:pStyle w:val="ListBullet"/>
        <w:numPr>
          <w:ilvl w:val="0"/>
          <w:numId w:val="1"/>
        </w:numPr>
      </w:pPr>
      <w:r>
        <w:t xml:space="preserve">Brésil conilon : pas de cycle bisannuel (0,22), mais une tendance de fond de +0,7 M sacs par an : de 12,7 M en 2010/11 à 24,4 M en 2026/27.</w:t>
      </w:r>
    </w:p>
    <w:p>
      <w:pPr>
        <w:pStyle w:val="ListBullet"/>
        <w:numPr>
          <w:ilvl w:val="0"/>
          <w:numId w:val="1"/>
        </w:numPr>
      </w:pPr>
      <w:r>
        <w:t xml:space="preserve">Vietnam : tendance de +0,4 M sacs par an, cycle faible (−0,30). Ses baisses de récolte USDA : 2014/15 (−8 %), 2016/17 (−8 %), 2020/21 (−7 %), 2022/23 (−10 %) ; la sécheresse El Niño de 2015-2016 pèse sur la récolte 2016/17.</w:t>
      </w:r>
    </w:p>
    <w:p>
      <w:pPr>
        <w:pStyle w:val="ListBullet"/>
        <w:numPr>
          <w:ilvl w:val="0"/>
          <w:numId w:val="1"/>
        </w:numPr>
      </w:pPr>
      <w:r>
        <w:t xml:space="preserve">Prix : aucun cycle régulier n'est démontrable. Les pics du KC sont espacés de 25 à 63 mois (hors le double sommet de 2025) ; c'est compatible avec un marché sans calendrier, où chaque flambée vient d'un choc de récolte tombé sur des stocks bas.</w:t>
      </w:r>
    </w:p>
    <w:p>
      <w:pPr>
        <w:pStyle w:val="Heading2"/>
        <w:keepNext/>
      </w:pPr>
      <w:r>
        <w:t xml:space="preserve">La chaîne production → arrivée sur le marché → STU → prix</w:t>
      </w:r>
    </w:p>
    <w:p>
      <w:pPr>
        <w:pStyle w:val="ListBullet"/>
        <w:numPr>
          <w:ilvl w:val="0"/>
          <w:numId w:val="1"/>
        </w:numPr>
      </w:pPr>
      <w:r>
        <w:t xml:space="preserve">Production → exportations : les exportations suivent la production (corrélation 0,59 des variations), la consommation non (1,8 % de croissance moyenne, écart-type 2,3 % contre 4,4 % pour la production).</w:t>
      </w:r>
    </w:p>
    <w:p>
      <w:pPr>
        <w:pStyle w:val="ListBullet"/>
        <w:numPr>
          <w:ilvl w:val="0"/>
          <w:numId w:val="1"/>
        </w:numPr>
      </w:pPr>
      <w:r>
        <w:t xml:space="preserve">Production → STU : +1 % de production mondiale ≈ +0,20 point de STU ; +1 % de consommation ≈ −0,25 point (effet de la consommation non significatif). Pour garder le STU stable, la production doit suivre l'utilisation, soit environ +1,8 % par an ; l'équation donne +3,0 %, mais ce point d'équilibre est mal déterminé. Sur 2026/27, l'équation donne +0,13 point de STU et l'USDA prévoit +0,13 point ; avec un écart-type de 1,5 point, ce point juste ne valide rien à lui seul.</w:t>
      </w:r>
    </w:p>
    <w:p>
      <w:pPr>
        <w:pStyle w:val="ListBullet"/>
        <w:numPr>
          <w:ilvl w:val="0"/>
          <w:numId w:val="1"/>
        </w:numPr>
      </w:pPr>
      <w:r>
        <w:t xml:space="preserve">STU → prix : la courbe de la section 4 donne une zone de prix pour un STU donné (±1 écart-type : environ −22 % / +28 % pour le KC).</w:t>
      </w:r>
    </w:p>
    <w:p>
      <w:pPr>
        <w:pStyle w:val="Heading2"/>
        <w:keepNext/>
      </w:pPr>
      <w:r>
        <w:t xml:space="preserve">Méthode de prévision</w:t>
      </w:r>
    </w:p>
    <w:p>
      <w:pPr>
        <w:pStyle w:val="ListBullet"/>
        <w:numPr>
          <w:ilvl w:val="0"/>
          <w:numId w:val="1"/>
        </w:numPr>
      </w:pPr>
      <w:r>
        <w:t xml:space="preserve">1. Prévoir la récolte brésilienne suivante (cycle haut / bas, floraison de septembre à novembre, pluies d'octobre à mars, gel de juin à août), puis le Vietnam, l'Indonésie et la Colombie.</w:t>
      </w:r>
    </w:p>
    <w:p>
      <w:pPr>
        <w:pStyle w:val="ListBullet"/>
        <w:numPr>
          <w:ilvl w:val="0"/>
          <w:numId w:val="1"/>
        </w:numPr>
      </w:pPr>
      <w:r>
        <w:t xml:space="preserve">2. En déduire l'offre qui arrive sur le marché (exportations) et le STU de fin de campagne, en gardant en tête l'incertitude (±1,5 point de STU).</w:t>
      </w:r>
    </w:p>
    <w:p>
      <w:pPr>
        <w:pStyle w:val="ListBullet"/>
        <w:numPr>
          <w:ilvl w:val="0"/>
          <w:numId w:val="1"/>
        </w:numPr>
      </w:pPr>
      <w:r>
        <w:t xml:space="preserve">3. Lire le prix de courbe et sa zone ; comparer au marché. Un marché au-dessus de la zone paie un risque (certifiés bas, météo, real) : à expliquer au cas par cas.</w:t>
      </w:r>
    </w:p>
    <w:p>
      <w:pPr>
        <w:pStyle w:val="ListBullet"/>
        <w:numPr>
          <w:ilvl w:val="0"/>
          <w:numId w:val="1"/>
        </w:numPr>
      </w:pPr>
      <w:r>
        <w:t xml:space="preserve">4. Trader les révisions de récolte : c'est quand la récolte attendue change que le prix bouge, surtout d'août à février pour l'arabica, et pendant la campagne en cours pour le robusta.</w:t>
      </w:r>
    </w:p>
    <w:p>
      <w:r>
        <w:t xml:space="preserve">Application 2026/27 : STU prévu 7,8 % → KC de courbe 242 c/lb, DF 3 208 $/t, contre 313 c/lb et 3 696 $/t en août 2026. Le KC est juste au-dessus de sa zone habituelle. Les stocks certifiés de New York sont au plus bas de notre série, qui commence en juin 2012 (0,24 M sacs fin août 2026) : cela peut expliquer une partie de la prime, sans que ce soit testé. Si la récolte record 2026/27 remplit les stocks visibles, le KC a de la place pour se rapprocher de la courbe ; l'année basse brésilienne 2027/28 et la météo (sécheresse, gel) sont les risques de hausse. Le STU 2026/27 est lui-même une prévision USDA de juin 2026. Ce n'est pas un conseil d'investissement.</w:t>
      </w:r>
    </w:p>
    <w:p>
      <w:pPr>
        <w:pStyle w:val="Heading1"/>
        <w:keepNext/>
      </w:pPr>
      <w:r>
        <w:t xml:space="preserve">7. Les trois moteurs du prix</w:t>
      </w:r>
    </w:p>
    <w:p>
      <w:pPr>
        <w:pStyle w:val="ListBullet"/>
        <w:numPr>
          <w:ilvl w:val="0"/>
          <w:numId w:val="1"/>
        </w:numPr>
      </w:pPr>
      <w:r>
        <w:rPr>
          <w:b/>
        </w:rPr>
        <w:t xml:space="preserve">1. La récolte à venir, Brésil d'abord. </w:t>
      </w:r>
      <w:r>
        <w:t xml:space="preserve">Le Brésil fait 83 % des chocs de la production mondiale et 76 % des variations de stocks des pays d'origine ; le KC réagit à la récolte suivante (≈ −1,3 % de KC par % de récolte), et la Colombie compte aussi (−0,75). La météo (gel, sécheresse) déclenche les chocs : elle agit sur le prix à travers la récolte attendue.</w:t>
      </w:r>
    </w:p>
    <w:p>
      <w:pPr>
        <w:pStyle w:val="ListBullet"/>
        <w:numPr>
          <w:ilvl w:val="0"/>
          <w:numId w:val="1"/>
        </w:numPr>
      </w:pPr>
      <w:r>
        <w:rPr>
          <w:b/>
        </w:rPr>
        <w:t xml:space="preserve">2. Le niveau des stocks (STU mondial). </w:t>
      </w:r>
      <w:r>
        <w:t xml:space="preserve">Il ne crée pas le choc, il en fixe probablement la taille. Selon la courbe, un point de STU pèse 2,5 à 4 fois plus à 7-8 % qu'à 12-13 % ; cet écart découle de la forme choisie et n'a été observé que sur un épisode (2023/24-2025/26). Les stocks certifiés en sont la partie visible.</w:t>
      </w:r>
    </w:p>
    <w:p>
      <w:pPr>
        <w:pStyle w:val="ListBullet"/>
        <w:numPr>
          <w:ilvl w:val="0"/>
          <w:numId w:val="1"/>
        </w:numPr>
      </w:pPr>
      <w:r>
        <w:rPr>
          <w:b/>
        </w:rPr>
        <w:t xml:space="preserve">3. La récolte de robusta. </w:t>
      </w:r>
      <w:r>
        <w:t xml:space="preserve">Vietnam, conilon brésilien et Indonésie : −1 % de production robusta ≈ +2,1 % de DF la même campagne (significatif). Un effet sur le KC par substitution dans les assemblages est plausible mais n'apparaît pas dans les données (−0,28, non significatif).</w:t>
      </w:r>
    </w:p>
    <w:p>
      <w:r>
        <w:t xml:space="preserve">La consommation n'est pas un moteur de court terme : elle progresse régulièrement et ne réagit pas de façon mesurable au prix d'une campagne à l'autre. C'est la pente de fond que la production doit suivre.</w:t>
      </w:r>
    </w:p>
    <w:p>
      <w:r>
        <w:br w:type="page"/>
      </w:r>
    </w:p>
    <w:p>
      <w:pPr>
        <w:pStyle w:val="Heading1"/>
        <w:keepNext/>
      </w:pPr>
      <w:r>
        <w:t xml:space="preserve">8. Quels pays comptent pour le prix</w:t>
      </w:r>
    </w:p>
    <w:p>
      <w:pPr>
        <w:pStyle w:val="Figure"/>
        <w:keepNext/>
      </w:pPr>
      <w:r>
        <w:drawing>
          <wp:inline distT="0" distB="0" distL="0" distR="0">
            <wp:extent cx="5940000" cy="2390907"/>
            <wp:docPr id="12" name="Graphique 12"/>
            <wp:cNvGraphicFramePr>
              <a:graphicFrameLocks noChangeAspect="1"/>
            </wp:cNvGraphicFramePr>
            <a:graphic>
              <a:graphicData uri="http://schemas.openxmlformats.org/drawingml/2006/picture">
                <pic:pic>
                  <pic:nvPicPr>
                    <pic:cNvPr id="12" name="graphique12.png"/>
                    <pic:cNvPicPr/>
                  </pic:nvPicPr>
                  <pic:blipFill>
                    <a:blip r:embed="rIdImg12"/>
                    <a:stretch>
                      <a:fillRect/>
                    </a:stretch>
                  </pic:blipFill>
                  <pic:spPr>
                    <a:xfrm>
                      <a:off x="0" y="0"/>
                      <a:ext cx="5940000" cy="2390907"/>
                    </a:xfrm>
                    <a:prstGeom prst="rect">
                      <a:avLst/>
                    </a:prstGeom>
                  </pic:spPr>
                </pic:pic>
              </a:graphicData>
            </a:graphic>
          </wp:inline>
        </w:drawing>
      </w:r>
    </w:p>
    <w:p>
      <w:pPr>
        <w:pStyle w:val="Caption"/>
      </w:pPr>
      <w:r>
        <w:t xml:space="preserve">Graphique 12 — Pour chaque pays : part de la production mondiale 2026/27, poids dans les chocs de production mondiaux et dans les variations de stocks des pays d'origine (2011-2026).</w:t>
      </w:r>
    </w:p>
    <w:p>
      <w:r>
        <w:t xml:space="preserve">Un STU bas ne rend pas un pays important à lui seul. Il veut dire que le pays exporte presque tout ce qu'il produit, sans coussin : ses chocs de récolte passent directement au marché. Mais cela ne compte que si le pays est gros. Trois mesures font l'importance : la taille (part de la production et des exportations), la taille des chocs, et le coussin en volume (part des stocks, semaines d'exportation en stock).</w:t>
      </w:r>
    </w:p>
    <w:tbl>
      <w:tblPr>
        <w:tblStyle w:val="Grille"/>
        <w:tblW w:w="99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1500"/>
        <w:gridCol w:w="1150"/>
        <w:gridCol w:w="1150"/>
        <w:gridCol w:w="1300"/>
        <w:gridCol w:w="1250"/>
        <w:gridCol w:w="1250"/>
        <w:gridCol w:w="1250"/>
        <w:gridCol w:w="1100"/>
      </w:tblGrid>
      <w:tr>
        <w:trPr>
          <w:tblHeader/>
        </w:trPr>
        <w:tc>
          <w:tcPr>
            <w:tcW w:w="1500" w:type="dxa"/>
            <w:shd w:val="clear" w:color="auto" w:fill="1F3864"/>
            <w:vAlign w:val="center"/>
          </w:tcPr>
          <w:p>
            <w:pPr>
              <w:spacing w:before="20" w:after="20"/>
              <w:jc w:val="center"/>
            </w:pPr>
            <w:r>
              <w:rPr>
                <w:b/>
                <w:color w:val="FFFFFF"/>
                <w:sz w:val="15"/>
                <w:szCs w:val="15"/>
              </w:rPr>
              <w:t xml:space="preserve">Pays</w:t>
            </w:r>
          </w:p>
        </w:tc>
        <w:tc>
          <w:tcPr>
            <w:tcW w:w="1150" w:type="dxa"/>
            <w:shd w:val="clear" w:color="auto" w:fill="1F3864"/>
            <w:vAlign w:val="center"/>
          </w:tcPr>
          <w:p>
            <w:pPr>
              <w:spacing w:before="20" w:after="20"/>
              <w:jc w:val="center"/>
            </w:pPr>
            <w:r>
              <w:rPr>
                <w:b/>
                <w:color w:val="FFFFFF"/>
                <w:sz w:val="15"/>
                <w:szCs w:val="15"/>
              </w:rPr>
              <w:t xml:space="preserve">Part prod. 26/27</w:t>
            </w:r>
          </w:p>
        </w:tc>
        <w:tc>
          <w:tcPr>
            <w:tcW w:w="1150" w:type="dxa"/>
            <w:shd w:val="clear" w:color="auto" w:fill="1F3864"/>
            <w:vAlign w:val="center"/>
          </w:tcPr>
          <w:p>
            <w:pPr>
              <w:spacing w:before="20" w:after="20"/>
              <w:jc w:val="center"/>
            </w:pPr>
            <w:r>
              <w:rPr>
                <w:b/>
                <w:color w:val="FFFFFF"/>
                <w:sz w:val="15"/>
                <w:szCs w:val="15"/>
              </w:rPr>
              <w:t xml:space="preserve">Part export. 26/27</w:t>
            </w:r>
          </w:p>
        </w:tc>
        <w:tc>
          <w:tcPr>
            <w:tcW w:w="1300" w:type="dxa"/>
            <w:shd w:val="clear" w:color="auto" w:fill="1F3864"/>
            <w:vAlign w:val="center"/>
          </w:tcPr>
          <w:p>
            <w:pPr>
              <w:spacing w:before="20" w:after="20"/>
              <w:jc w:val="center"/>
            </w:pPr>
            <w:r>
              <w:rPr>
                <w:b/>
                <w:color w:val="FFFFFF"/>
                <w:sz w:val="15"/>
                <w:szCs w:val="15"/>
              </w:rPr>
              <w:t xml:space="preserve">Part stocks origines 26/27</w:t>
            </w:r>
          </w:p>
        </w:tc>
        <w:tc>
          <w:tcPr>
            <w:tcW w:w="1250" w:type="dxa"/>
            <w:shd w:val="clear" w:color="auto" w:fill="1F3864"/>
            <w:vAlign w:val="center"/>
          </w:tcPr>
          <w:p>
            <w:pPr>
              <w:spacing w:before="20" w:after="20"/>
              <w:jc w:val="center"/>
            </w:pPr>
            <w:r>
              <w:rPr>
                <w:b/>
                <w:color w:val="FFFFFF"/>
                <w:sz w:val="15"/>
                <w:szCs w:val="15"/>
              </w:rPr>
              <w:t xml:space="preserve">Semaines d'export en stock</w:t>
            </w:r>
          </w:p>
        </w:tc>
        <w:tc>
          <w:tcPr>
            <w:tcW w:w="1250" w:type="dxa"/>
            <w:shd w:val="clear" w:color="auto" w:fill="1F3864"/>
            <w:vAlign w:val="center"/>
          </w:tcPr>
          <w:p>
            <w:pPr>
              <w:spacing w:before="20" w:after="20"/>
              <w:jc w:val="center"/>
            </w:pPr>
            <w:r>
              <w:rPr>
                <w:b/>
                <w:color w:val="FFFFFF"/>
                <w:sz w:val="15"/>
                <w:szCs w:val="15"/>
              </w:rPr>
              <w:t xml:space="preserve">Poids chocs production</w:t>
            </w:r>
          </w:p>
        </w:tc>
        <w:tc>
          <w:tcPr>
            <w:tcW w:w="1250" w:type="dxa"/>
            <w:shd w:val="clear" w:color="auto" w:fill="1F3864"/>
            <w:vAlign w:val="center"/>
          </w:tcPr>
          <w:p>
            <w:pPr>
              <w:spacing w:before="20" w:after="20"/>
              <w:jc w:val="center"/>
            </w:pPr>
            <w:r>
              <w:rPr>
                <w:b/>
                <w:color w:val="FFFFFF"/>
                <w:sz w:val="15"/>
                <w:szCs w:val="15"/>
              </w:rPr>
              <w:t xml:space="preserve">Poids variations stocks</w:t>
            </w:r>
          </w:p>
        </w:tc>
        <w:tc>
          <w:tcPr>
            <w:tcW w:w="1100" w:type="dxa"/>
            <w:shd w:val="clear" w:color="auto" w:fill="1F3864"/>
            <w:vAlign w:val="center"/>
          </w:tcPr>
          <w:p>
            <w:pPr>
              <w:spacing w:before="20" w:after="20"/>
              <w:jc w:val="center"/>
            </w:pPr>
            <w:r>
              <w:rPr>
                <w:b/>
                <w:color w:val="FFFFFF"/>
                <w:sz w:val="15"/>
                <w:szCs w:val="15"/>
              </w:rPr>
              <w:t xml:space="preserve">STU moyen</w:t>
            </w:r>
          </w:p>
        </w:tc>
      </w:tr>
      <w:tr>
        <w:trPr>
          <w:cantSplit/>
        </w:trPr>
        <w:tc>
          <w:tcPr>
            <w:tcW w:w="1500" w:type="dxa"/>
            <w:vAlign w:val="center"/>
          </w:tcPr>
          <w:p>
            <w:pPr>
              <w:spacing w:before="20" w:after="20"/>
              <w:jc w:val="left"/>
            </w:pPr>
            <w:r>
              <w:rPr>
                <w:b/>
                <w:sz w:val="15"/>
                <w:szCs w:val="15"/>
              </w:rPr>
              <w:t xml:space="preserve">Brésil</w:t>
            </w:r>
          </w:p>
        </w:tc>
        <w:tc>
          <w:tcPr>
            <w:tcW w:w="1150" w:type="dxa"/>
            <w:vAlign w:val="center"/>
          </w:tcPr>
          <w:p>
            <w:pPr>
              <w:spacing w:before="20" w:after="20"/>
              <w:jc w:val="right"/>
            </w:pPr>
            <w:r>
              <w:rPr>
                <w:sz w:val="15"/>
                <w:szCs w:val="15"/>
              </w:rPr>
              <w:t xml:space="preserve">38 %</w:t>
            </w:r>
          </w:p>
        </w:tc>
        <w:tc>
          <w:tcPr>
            <w:tcW w:w="1150" w:type="dxa"/>
            <w:vAlign w:val="center"/>
          </w:tcPr>
          <w:p>
            <w:pPr>
              <w:spacing w:before="20" w:after="20"/>
              <w:jc w:val="right"/>
            </w:pPr>
            <w:r>
              <w:rPr>
                <w:sz w:val="15"/>
                <w:szCs w:val="15"/>
              </w:rPr>
              <w:t xml:space="preserve">31 %</w:t>
            </w:r>
          </w:p>
        </w:tc>
        <w:tc>
          <w:tcPr>
            <w:tcW w:w="1300" w:type="dxa"/>
            <w:vAlign w:val="center"/>
          </w:tcPr>
          <w:p>
            <w:pPr>
              <w:spacing w:before="20" w:after="20"/>
              <w:jc w:val="right"/>
            </w:pPr>
            <w:r>
              <w:rPr>
                <w:sz w:val="15"/>
                <w:szCs w:val="15"/>
              </w:rPr>
              <w:t xml:space="preserve">53 %</w:t>
            </w:r>
          </w:p>
        </w:tc>
        <w:tc>
          <w:tcPr>
            <w:tcW w:w="1250" w:type="dxa"/>
            <w:vAlign w:val="center"/>
          </w:tcPr>
          <w:p>
            <w:pPr>
              <w:spacing w:before="20" w:after="20"/>
              <w:jc w:val="right"/>
            </w:pPr>
            <w:r>
              <w:rPr>
                <w:sz w:val="15"/>
                <w:szCs w:val="15"/>
              </w:rPr>
              <w:t xml:space="preserve">4,7</w:t>
            </w:r>
          </w:p>
        </w:tc>
        <w:tc>
          <w:tcPr>
            <w:tcW w:w="1250" w:type="dxa"/>
            <w:vAlign w:val="center"/>
          </w:tcPr>
          <w:p>
            <w:pPr>
              <w:spacing w:before="20" w:after="20"/>
              <w:jc w:val="right"/>
            </w:pPr>
            <w:r>
              <w:rPr>
                <w:sz w:val="15"/>
                <w:szCs w:val="15"/>
              </w:rPr>
              <w:t xml:space="preserve">83 %</w:t>
            </w:r>
          </w:p>
        </w:tc>
        <w:tc>
          <w:tcPr>
            <w:tcW w:w="1250" w:type="dxa"/>
            <w:vAlign w:val="center"/>
          </w:tcPr>
          <w:p>
            <w:pPr>
              <w:spacing w:before="20" w:after="20"/>
              <w:jc w:val="right"/>
            </w:pPr>
            <w:r>
              <w:rPr>
                <w:sz w:val="15"/>
                <w:szCs w:val="15"/>
              </w:rPr>
              <w:t xml:space="preserve">76 %</w:t>
            </w:r>
          </w:p>
        </w:tc>
        <w:tc>
          <w:tcPr>
            <w:tcW w:w="1100" w:type="dxa"/>
            <w:vAlign w:val="center"/>
          </w:tcPr>
          <w:p>
            <w:pPr>
              <w:spacing w:before="20" w:after="20"/>
              <w:jc w:val="right"/>
            </w:pPr>
            <w:r>
              <w:rPr>
                <w:sz w:val="15"/>
                <w:szCs w:val="15"/>
              </w:rPr>
              <w:t xml:space="preserve">7,5 %</w:t>
            </w:r>
          </w:p>
        </w:tc>
      </w:tr>
      <w:tr>
        <w:trPr>
          <w:cantSplit/>
        </w:trPr>
        <w:tc>
          <w:tcPr>
            <w:tcW w:w="1500" w:type="dxa"/>
            <w:shd w:val="clear" w:color="auto" w:fill="F2F4F7"/>
            <w:vAlign w:val="center"/>
          </w:tcPr>
          <w:p>
            <w:pPr>
              <w:spacing w:before="20" w:after="20"/>
              <w:jc w:val="left"/>
            </w:pPr>
            <w:r>
              <w:rPr>
                <w:b/>
                <w:sz w:val="15"/>
                <w:szCs w:val="15"/>
              </w:rPr>
              <w:t xml:space="preserve">Vietnam</w:t>
            </w:r>
          </w:p>
        </w:tc>
        <w:tc>
          <w:tcPr>
            <w:tcW w:w="1150" w:type="dxa"/>
            <w:shd w:val="clear" w:color="auto" w:fill="F2F4F7"/>
            <w:vAlign w:val="center"/>
          </w:tcPr>
          <w:p>
            <w:pPr>
              <w:spacing w:before="20" w:after="20"/>
              <w:jc w:val="right"/>
            </w:pPr>
            <w:r>
              <w:rPr>
                <w:sz w:val="15"/>
                <w:szCs w:val="15"/>
              </w:rPr>
              <w:t xml:space="preserve">17 %</w:t>
            </w:r>
          </w:p>
        </w:tc>
        <w:tc>
          <w:tcPr>
            <w:tcW w:w="1150" w:type="dxa"/>
            <w:shd w:val="clear" w:color="auto" w:fill="F2F4F7"/>
            <w:vAlign w:val="center"/>
          </w:tcPr>
          <w:p>
            <w:pPr>
              <w:spacing w:before="20" w:after="20"/>
              <w:jc w:val="right"/>
            </w:pPr>
            <w:r>
              <w:rPr>
                <w:sz w:val="15"/>
                <w:szCs w:val="15"/>
              </w:rPr>
              <w:t xml:space="preserve">18 %</w:t>
            </w:r>
          </w:p>
        </w:tc>
        <w:tc>
          <w:tcPr>
            <w:tcW w:w="1300" w:type="dxa"/>
            <w:shd w:val="clear" w:color="auto" w:fill="F2F4F7"/>
            <w:vAlign w:val="center"/>
          </w:tcPr>
          <w:p>
            <w:pPr>
              <w:spacing w:before="20" w:after="20"/>
              <w:jc w:val="right"/>
            </w:pPr>
            <w:r>
              <w:rPr>
                <w:sz w:val="15"/>
                <w:szCs w:val="15"/>
              </w:rPr>
              <w:t xml:space="preserve">6 %</w:t>
            </w:r>
          </w:p>
        </w:tc>
        <w:tc>
          <w:tcPr>
            <w:tcW w:w="1250" w:type="dxa"/>
            <w:shd w:val="clear" w:color="auto" w:fill="F2F4F7"/>
            <w:vAlign w:val="center"/>
          </w:tcPr>
          <w:p>
            <w:pPr>
              <w:spacing w:before="20" w:after="20"/>
              <w:jc w:val="right"/>
            </w:pPr>
            <w:r>
              <w:rPr>
                <w:sz w:val="15"/>
                <w:szCs w:val="15"/>
              </w:rPr>
              <w:t xml:space="preserve">0,9</w:t>
            </w:r>
          </w:p>
        </w:tc>
        <w:tc>
          <w:tcPr>
            <w:tcW w:w="1250" w:type="dxa"/>
            <w:shd w:val="clear" w:color="auto" w:fill="F2F4F7"/>
            <w:vAlign w:val="center"/>
          </w:tcPr>
          <w:p>
            <w:pPr>
              <w:spacing w:before="20" w:after="20"/>
              <w:jc w:val="right"/>
            </w:pPr>
            <w:r>
              <w:rPr>
                <w:sz w:val="15"/>
                <w:szCs w:val="15"/>
              </w:rPr>
              <w:t xml:space="preserve">−3 %</w:t>
            </w:r>
          </w:p>
        </w:tc>
        <w:tc>
          <w:tcPr>
            <w:tcW w:w="1250" w:type="dxa"/>
            <w:shd w:val="clear" w:color="auto" w:fill="F2F4F7"/>
            <w:vAlign w:val="center"/>
          </w:tcPr>
          <w:p>
            <w:pPr>
              <w:spacing w:before="20" w:after="20"/>
              <w:jc w:val="right"/>
            </w:pPr>
            <w:r>
              <w:rPr>
                <w:sz w:val="15"/>
                <w:szCs w:val="15"/>
              </w:rPr>
              <w:t xml:space="preserve">18 %</w:t>
            </w:r>
          </w:p>
        </w:tc>
        <w:tc>
          <w:tcPr>
            <w:tcW w:w="1100" w:type="dxa"/>
            <w:shd w:val="clear" w:color="auto" w:fill="F2F4F7"/>
            <w:vAlign w:val="center"/>
          </w:tcPr>
          <w:p>
            <w:pPr>
              <w:spacing w:before="20" w:after="20"/>
              <w:jc w:val="right"/>
            </w:pPr>
            <w:r>
              <w:rPr>
                <w:sz w:val="15"/>
                <w:szCs w:val="15"/>
              </w:rPr>
              <w:t xml:space="preserve">7,0 %</w:t>
            </w:r>
          </w:p>
        </w:tc>
      </w:tr>
      <w:tr>
        <w:trPr>
          <w:cantSplit/>
        </w:trPr>
        <w:tc>
          <w:tcPr>
            <w:tcW w:w="1500" w:type="dxa"/>
            <w:vAlign w:val="center"/>
          </w:tcPr>
          <w:p>
            <w:pPr>
              <w:spacing w:before="20" w:after="20"/>
              <w:jc w:val="left"/>
            </w:pPr>
            <w:r>
              <w:rPr>
                <w:b/>
                <w:sz w:val="15"/>
                <w:szCs w:val="15"/>
              </w:rPr>
              <w:t xml:space="preserve">Colombie</w:t>
            </w:r>
          </w:p>
        </w:tc>
        <w:tc>
          <w:tcPr>
            <w:tcW w:w="1150" w:type="dxa"/>
            <w:vAlign w:val="center"/>
          </w:tcPr>
          <w:p>
            <w:pPr>
              <w:spacing w:before="20" w:after="20"/>
              <w:jc w:val="right"/>
            </w:pPr>
            <w:r>
              <w:rPr>
                <w:sz w:val="15"/>
                <w:szCs w:val="15"/>
              </w:rPr>
              <w:t xml:space="preserve">7 %</w:t>
            </w:r>
          </w:p>
        </w:tc>
        <w:tc>
          <w:tcPr>
            <w:tcW w:w="1150" w:type="dxa"/>
            <w:vAlign w:val="center"/>
          </w:tcPr>
          <w:p>
            <w:pPr>
              <w:spacing w:before="20" w:after="20"/>
              <w:jc w:val="right"/>
            </w:pPr>
            <w:r>
              <w:rPr>
                <w:sz w:val="15"/>
                <w:szCs w:val="15"/>
              </w:rPr>
              <w:t xml:space="preserve">8 %</w:t>
            </w:r>
          </w:p>
        </w:tc>
        <w:tc>
          <w:tcPr>
            <w:tcW w:w="1300" w:type="dxa"/>
            <w:vAlign w:val="center"/>
          </w:tcPr>
          <w:p>
            <w:pPr>
              <w:spacing w:before="20" w:after="20"/>
              <w:jc w:val="right"/>
            </w:pPr>
            <w:r>
              <w:rPr>
                <w:sz w:val="15"/>
                <w:szCs w:val="15"/>
              </w:rPr>
              <w:t xml:space="preserve">8 %</w:t>
            </w:r>
          </w:p>
        </w:tc>
        <w:tc>
          <w:tcPr>
            <w:tcW w:w="1250" w:type="dxa"/>
            <w:vAlign w:val="center"/>
          </w:tcPr>
          <w:p>
            <w:pPr>
              <w:spacing w:before="20" w:after="20"/>
              <w:jc w:val="right"/>
            </w:pPr>
            <w:r>
              <w:rPr>
                <w:sz w:val="15"/>
                <w:szCs w:val="15"/>
              </w:rPr>
              <w:t xml:space="preserve">2,6</w:t>
            </w:r>
          </w:p>
        </w:tc>
        <w:tc>
          <w:tcPr>
            <w:tcW w:w="1250" w:type="dxa"/>
            <w:vAlign w:val="center"/>
          </w:tcPr>
          <w:p>
            <w:pPr>
              <w:spacing w:before="20" w:after="20"/>
              <w:jc w:val="right"/>
            </w:pPr>
            <w:r>
              <w:rPr>
                <w:sz w:val="15"/>
                <w:szCs w:val="15"/>
              </w:rPr>
              <w:t xml:space="preserve">7 %</w:t>
            </w:r>
          </w:p>
        </w:tc>
        <w:tc>
          <w:tcPr>
            <w:tcW w:w="1250" w:type="dxa"/>
            <w:vAlign w:val="center"/>
          </w:tcPr>
          <w:p>
            <w:pPr>
              <w:spacing w:before="20" w:after="20"/>
              <w:jc w:val="right"/>
            </w:pPr>
            <w:r>
              <w:rPr>
                <w:sz w:val="15"/>
                <w:szCs w:val="15"/>
              </w:rPr>
              <w:t xml:space="preserve">1 %</w:t>
            </w:r>
          </w:p>
        </w:tc>
        <w:tc>
          <w:tcPr>
            <w:tcW w:w="1100" w:type="dxa"/>
            <w:vAlign w:val="center"/>
          </w:tcPr>
          <w:p>
            <w:pPr>
              <w:spacing w:before="20" w:after="20"/>
              <w:jc w:val="right"/>
            </w:pPr>
            <w:r>
              <w:rPr>
                <w:sz w:val="15"/>
                <w:szCs w:val="15"/>
              </w:rPr>
              <w:t xml:space="preserve">5,7 %</w:t>
            </w:r>
          </w:p>
        </w:tc>
      </w:tr>
      <w:tr>
        <w:trPr>
          <w:cantSplit/>
        </w:trPr>
        <w:tc>
          <w:tcPr>
            <w:tcW w:w="1500" w:type="dxa"/>
            <w:shd w:val="clear" w:color="auto" w:fill="F2F4F7"/>
            <w:vAlign w:val="center"/>
          </w:tcPr>
          <w:p>
            <w:pPr>
              <w:spacing w:before="20" w:after="20"/>
              <w:jc w:val="left"/>
            </w:pPr>
            <w:r>
              <w:rPr>
                <w:b/>
                <w:sz w:val="15"/>
                <w:szCs w:val="15"/>
              </w:rPr>
              <w:t xml:space="preserve">Éthiopie</w:t>
            </w:r>
          </w:p>
        </w:tc>
        <w:tc>
          <w:tcPr>
            <w:tcW w:w="1150" w:type="dxa"/>
            <w:shd w:val="clear" w:color="auto" w:fill="F2F4F7"/>
            <w:vAlign w:val="center"/>
          </w:tcPr>
          <w:p>
            <w:pPr>
              <w:spacing w:before="20" w:after="20"/>
              <w:jc w:val="right"/>
            </w:pPr>
            <w:r>
              <w:rPr>
                <w:sz w:val="15"/>
                <w:szCs w:val="15"/>
              </w:rPr>
              <w:t xml:space="preserve">6 %</w:t>
            </w:r>
          </w:p>
        </w:tc>
        <w:tc>
          <w:tcPr>
            <w:tcW w:w="1150" w:type="dxa"/>
            <w:shd w:val="clear" w:color="auto" w:fill="F2F4F7"/>
            <w:vAlign w:val="center"/>
          </w:tcPr>
          <w:p>
            <w:pPr>
              <w:spacing w:before="20" w:after="20"/>
              <w:jc w:val="right"/>
            </w:pPr>
            <w:r>
              <w:rPr>
                <w:sz w:val="15"/>
                <w:szCs w:val="15"/>
              </w:rPr>
              <w:t xml:space="preserve">4 %</w:t>
            </w:r>
          </w:p>
        </w:tc>
        <w:tc>
          <w:tcPr>
            <w:tcW w:w="1300" w:type="dxa"/>
            <w:shd w:val="clear" w:color="auto" w:fill="F2F4F7"/>
            <w:vAlign w:val="center"/>
          </w:tcPr>
          <w:p>
            <w:pPr>
              <w:spacing w:before="20" w:after="20"/>
              <w:jc w:val="right"/>
            </w:pPr>
            <w:r>
              <w:rPr>
                <w:sz w:val="15"/>
                <w:szCs w:val="15"/>
              </w:rPr>
              <w:t xml:space="preserve">2 %</w:t>
            </w:r>
          </w:p>
        </w:tc>
        <w:tc>
          <w:tcPr>
            <w:tcW w:w="1250" w:type="dxa"/>
            <w:shd w:val="clear" w:color="auto" w:fill="F2F4F7"/>
            <w:vAlign w:val="center"/>
          </w:tcPr>
          <w:p>
            <w:pPr>
              <w:spacing w:before="20" w:after="20"/>
              <w:jc w:val="right"/>
            </w:pPr>
            <w:r>
              <w:rPr>
                <w:sz w:val="15"/>
                <w:szCs w:val="15"/>
              </w:rPr>
              <w:t xml:space="preserve">1,1</w:t>
            </w:r>
          </w:p>
        </w:tc>
        <w:tc>
          <w:tcPr>
            <w:tcW w:w="1250" w:type="dxa"/>
            <w:shd w:val="clear" w:color="auto" w:fill="F2F4F7"/>
            <w:vAlign w:val="center"/>
          </w:tcPr>
          <w:p>
            <w:pPr>
              <w:spacing w:before="20" w:after="20"/>
              <w:jc w:val="right"/>
            </w:pPr>
            <w:r>
              <w:rPr>
                <w:sz w:val="15"/>
                <w:szCs w:val="15"/>
              </w:rPr>
              <w:t xml:space="preserve">2 %</w:t>
            </w:r>
          </w:p>
        </w:tc>
        <w:tc>
          <w:tcPr>
            <w:tcW w:w="1250" w:type="dxa"/>
            <w:shd w:val="clear" w:color="auto" w:fill="F2F4F7"/>
            <w:vAlign w:val="center"/>
          </w:tcPr>
          <w:p>
            <w:pPr>
              <w:spacing w:before="20" w:after="20"/>
              <w:jc w:val="right"/>
            </w:pPr>
            <w:r>
              <w:rPr>
                <w:sz w:val="15"/>
                <w:szCs w:val="15"/>
              </w:rPr>
              <w:t xml:space="preserve">−1 %</w:t>
            </w:r>
          </w:p>
        </w:tc>
        <w:tc>
          <w:tcPr>
            <w:tcW w:w="1100" w:type="dxa"/>
            <w:shd w:val="clear" w:color="auto" w:fill="F2F4F7"/>
            <w:vAlign w:val="center"/>
          </w:tcPr>
          <w:p>
            <w:pPr>
              <w:spacing w:before="20" w:after="20"/>
              <w:jc w:val="right"/>
            </w:pPr>
            <w:r>
              <w:rPr>
                <w:sz w:val="15"/>
                <w:szCs w:val="15"/>
              </w:rPr>
              <w:t xml:space="preserve">1,1 %</w:t>
            </w:r>
          </w:p>
        </w:tc>
      </w:tr>
      <w:tr>
        <w:trPr>
          <w:cantSplit/>
        </w:trPr>
        <w:tc>
          <w:tcPr>
            <w:tcW w:w="1500" w:type="dxa"/>
            <w:vAlign w:val="center"/>
          </w:tcPr>
          <w:p>
            <w:pPr>
              <w:spacing w:before="20" w:after="20"/>
              <w:jc w:val="left"/>
            </w:pPr>
            <w:r>
              <w:rPr>
                <w:b/>
                <w:sz w:val="15"/>
                <w:szCs w:val="15"/>
              </w:rPr>
              <w:t xml:space="preserve">Indonésie</w:t>
            </w:r>
          </w:p>
        </w:tc>
        <w:tc>
          <w:tcPr>
            <w:tcW w:w="1150" w:type="dxa"/>
            <w:vAlign w:val="center"/>
          </w:tcPr>
          <w:p>
            <w:pPr>
              <w:spacing w:before="20" w:after="20"/>
              <w:jc w:val="right"/>
            </w:pPr>
            <w:r>
              <w:rPr>
                <w:sz w:val="15"/>
                <w:szCs w:val="15"/>
              </w:rPr>
              <w:t xml:space="preserve">6 %</w:t>
            </w:r>
          </w:p>
        </w:tc>
        <w:tc>
          <w:tcPr>
            <w:tcW w:w="1150" w:type="dxa"/>
            <w:vAlign w:val="center"/>
          </w:tcPr>
          <w:p>
            <w:pPr>
              <w:spacing w:before="20" w:after="20"/>
              <w:jc w:val="right"/>
            </w:pPr>
            <w:r>
              <w:rPr>
                <w:sz w:val="15"/>
                <w:szCs w:val="15"/>
              </w:rPr>
              <w:t xml:space="preserve">5 %</w:t>
            </w:r>
          </w:p>
        </w:tc>
        <w:tc>
          <w:tcPr>
            <w:tcW w:w="1300" w:type="dxa"/>
            <w:vAlign w:val="center"/>
          </w:tcPr>
          <w:p>
            <w:pPr>
              <w:spacing w:before="20" w:after="20"/>
              <w:jc w:val="right"/>
            </w:pPr>
            <w:r>
              <w:rPr>
                <w:sz w:val="15"/>
                <w:szCs w:val="15"/>
              </w:rPr>
              <w:t xml:space="preserve">8 %</w:t>
            </w:r>
          </w:p>
        </w:tc>
        <w:tc>
          <w:tcPr>
            <w:tcW w:w="1250" w:type="dxa"/>
            <w:vAlign w:val="center"/>
          </w:tcPr>
          <w:p>
            <w:pPr>
              <w:spacing w:before="20" w:after="20"/>
              <w:jc w:val="right"/>
            </w:pPr>
            <w:r>
              <w:rPr>
                <w:sz w:val="15"/>
                <w:szCs w:val="15"/>
              </w:rPr>
              <w:t xml:space="preserve">4,3</w:t>
            </w:r>
          </w:p>
        </w:tc>
        <w:tc>
          <w:tcPr>
            <w:tcW w:w="1250" w:type="dxa"/>
            <w:vAlign w:val="center"/>
          </w:tcPr>
          <w:p>
            <w:pPr>
              <w:spacing w:before="20" w:after="20"/>
              <w:jc w:val="right"/>
            </w:pPr>
            <w:r>
              <w:rPr>
                <w:sz w:val="15"/>
                <w:szCs w:val="15"/>
              </w:rPr>
              <w:t xml:space="preserve">4 %</w:t>
            </w:r>
          </w:p>
        </w:tc>
        <w:tc>
          <w:tcPr>
            <w:tcW w:w="1250" w:type="dxa"/>
            <w:vAlign w:val="center"/>
          </w:tcPr>
          <w:p>
            <w:pPr>
              <w:spacing w:before="20" w:after="20"/>
              <w:jc w:val="right"/>
            </w:pPr>
            <w:r>
              <w:rPr>
                <w:sz w:val="15"/>
                <w:szCs w:val="15"/>
              </w:rPr>
              <w:t xml:space="preserve">2 %</w:t>
            </w:r>
          </w:p>
        </w:tc>
        <w:tc>
          <w:tcPr>
            <w:tcW w:w="1100" w:type="dxa"/>
            <w:vAlign w:val="center"/>
          </w:tcPr>
          <w:p>
            <w:pPr>
              <w:spacing w:before="20" w:after="20"/>
              <w:jc w:val="right"/>
            </w:pPr>
            <w:r>
              <w:rPr>
                <w:sz w:val="15"/>
                <w:szCs w:val="15"/>
              </w:rPr>
              <w:t xml:space="preserve">5,8 %</w:t>
            </w:r>
          </w:p>
        </w:tc>
      </w:tr>
      <w:tr>
        <w:trPr>
          <w:cantSplit/>
        </w:trPr>
        <w:tc>
          <w:tcPr>
            <w:tcW w:w="1500" w:type="dxa"/>
            <w:shd w:val="clear" w:color="auto" w:fill="F2F4F7"/>
            <w:vAlign w:val="center"/>
          </w:tcPr>
          <w:p>
            <w:pPr>
              <w:spacing w:before="20" w:after="20"/>
              <w:jc w:val="left"/>
            </w:pPr>
            <w:r>
              <w:rPr>
                <w:b/>
                <w:sz w:val="15"/>
                <w:szCs w:val="15"/>
              </w:rPr>
              <w:t xml:space="preserve">Ouganda</w:t>
            </w:r>
          </w:p>
        </w:tc>
        <w:tc>
          <w:tcPr>
            <w:tcW w:w="1150" w:type="dxa"/>
            <w:shd w:val="clear" w:color="auto" w:fill="F2F4F7"/>
            <w:vAlign w:val="center"/>
          </w:tcPr>
          <w:p>
            <w:pPr>
              <w:spacing w:before="20" w:after="20"/>
              <w:jc w:val="right"/>
            </w:pPr>
            <w:r>
              <w:rPr>
                <w:sz w:val="15"/>
                <w:szCs w:val="15"/>
              </w:rPr>
              <w:t xml:space="preserve">4 %</w:t>
            </w:r>
          </w:p>
        </w:tc>
        <w:tc>
          <w:tcPr>
            <w:tcW w:w="1150" w:type="dxa"/>
            <w:shd w:val="clear" w:color="auto" w:fill="F2F4F7"/>
            <w:vAlign w:val="center"/>
          </w:tcPr>
          <w:p>
            <w:pPr>
              <w:spacing w:before="20" w:after="20"/>
              <w:jc w:val="right"/>
            </w:pPr>
            <w:r>
              <w:rPr>
                <w:sz w:val="15"/>
                <w:szCs w:val="15"/>
              </w:rPr>
              <w:t xml:space="preserve">4 %</w:t>
            </w:r>
          </w:p>
        </w:tc>
        <w:tc>
          <w:tcPr>
            <w:tcW w:w="1300" w:type="dxa"/>
            <w:shd w:val="clear" w:color="auto" w:fill="F2F4F7"/>
            <w:vAlign w:val="center"/>
          </w:tcPr>
          <w:p>
            <w:pPr>
              <w:spacing w:before="20" w:after="20"/>
              <w:jc w:val="right"/>
            </w:pPr>
            <w:r>
              <w:rPr>
                <w:sz w:val="15"/>
                <w:szCs w:val="15"/>
              </w:rPr>
              <w:t xml:space="preserve">4 %</w:t>
            </w:r>
          </w:p>
        </w:tc>
        <w:tc>
          <w:tcPr>
            <w:tcW w:w="1250" w:type="dxa"/>
            <w:shd w:val="clear" w:color="auto" w:fill="F2F4F7"/>
            <w:vAlign w:val="center"/>
          </w:tcPr>
          <w:p>
            <w:pPr>
              <w:spacing w:before="20" w:after="20"/>
              <w:jc w:val="right"/>
            </w:pPr>
            <w:r>
              <w:rPr>
                <w:sz w:val="15"/>
                <w:szCs w:val="15"/>
              </w:rPr>
              <w:t xml:space="preserve">2,5</w:t>
            </w:r>
          </w:p>
        </w:tc>
        <w:tc>
          <w:tcPr>
            <w:tcW w:w="1250" w:type="dxa"/>
            <w:shd w:val="clear" w:color="auto" w:fill="F2F4F7"/>
            <w:vAlign w:val="center"/>
          </w:tcPr>
          <w:p>
            <w:pPr>
              <w:spacing w:before="20" w:after="20"/>
              <w:jc w:val="right"/>
            </w:pPr>
            <w:r>
              <w:rPr>
                <w:sz w:val="15"/>
                <w:szCs w:val="15"/>
              </w:rPr>
              <w:t xml:space="preserve">3 %</w:t>
            </w:r>
          </w:p>
        </w:tc>
        <w:tc>
          <w:tcPr>
            <w:tcW w:w="1250" w:type="dxa"/>
            <w:shd w:val="clear" w:color="auto" w:fill="F2F4F7"/>
            <w:vAlign w:val="center"/>
          </w:tcPr>
          <w:p>
            <w:pPr>
              <w:spacing w:before="20" w:after="20"/>
              <w:jc w:val="right"/>
            </w:pPr>
            <w:r>
              <w:rPr>
                <w:sz w:val="15"/>
                <w:szCs w:val="15"/>
              </w:rPr>
              <w:t xml:space="preserve">−1 %</w:t>
            </w:r>
          </w:p>
        </w:tc>
        <w:tc>
          <w:tcPr>
            <w:tcW w:w="1100" w:type="dxa"/>
            <w:shd w:val="clear" w:color="auto" w:fill="F2F4F7"/>
            <w:vAlign w:val="center"/>
          </w:tcPr>
          <w:p>
            <w:pPr>
              <w:spacing w:before="20" w:after="20"/>
              <w:jc w:val="right"/>
            </w:pPr>
            <w:r>
              <w:rPr>
                <w:sz w:val="15"/>
                <w:szCs w:val="15"/>
              </w:rPr>
              <w:t xml:space="preserve">8,2 %</w:t>
            </w:r>
          </w:p>
        </w:tc>
      </w:tr>
      <w:tr>
        <w:trPr>
          <w:cantSplit/>
        </w:trPr>
        <w:tc>
          <w:tcPr>
            <w:tcW w:w="1500" w:type="dxa"/>
            <w:vAlign w:val="center"/>
          </w:tcPr>
          <w:p>
            <w:pPr>
              <w:spacing w:before="20" w:after="20"/>
              <w:jc w:val="left"/>
            </w:pPr>
            <w:r>
              <w:rPr>
                <w:b/>
                <w:sz w:val="15"/>
                <w:szCs w:val="15"/>
              </w:rPr>
              <w:t xml:space="preserve">Inde</w:t>
            </w:r>
          </w:p>
        </w:tc>
        <w:tc>
          <w:tcPr>
            <w:tcW w:w="1150" w:type="dxa"/>
            <w:vAlign w:val="center"/>
          </w:tcPr>
          <w:p>
            <w:pPr>
              <w:spacing w:before="20" w:after="20"/>
              <w:jc w:val="right"/>
            </w:pPr>
            <w:r>
              <w:rPr>
                <w:sz w:val="15"/>
                <w:szCs w:val="15"/>
              </w:rPr>
              <w:t xml:space="preserve">3 %</w:t>
            </w:r>
          </w:p>
        </w:tc>
        <w:tc>
          <w:tcPr>
            <w:tcW w:w="1150" w:type="dxa"/>
            <w:vAlign w:val="center"/>
          </w:tcPr>
          <w:p>
            <w:pPr>
              <w:spacing w:before="20" w:after="20"/>
              <w:jc w:val="right"/>
            </w:pPr>
            <w:r>
              <w:rPr>
                <w:sz w:val="15"/>
                <w:szCs w:val="15"/>
              </w:rPr>
              <w:t xml:space="preserve">4 %</w:t>
            </w:r>
          </w:p>
        </w:tc>
        <w:tc>
          <w:tcPr>
            <w:tcW w:w="1300" w:type="dxa"/>
            <w:vAlign w:val="center"/>
          </w:tcPr>
          <w:p>
            <w:pPr>
              <w:spacing w:before="20" w:after="20"/>
              <w:jc w:val="right"/>
            </w:pPr>
            <w:r>
              <w:rPr>
                <w:sz w:val="15"/>
                <w:szCs w:val="15"/>
              </w:rPr>
              <w:t xml:space="preserve">3 %</w:t>
            </w:r>
          </w:p>
        </w:tc>
        <w:tc>
          <w:tcPr>
            <w:tcW w:w="1250" w:type="dxa"/>
            <w:vAlign w:val="center"/>
          </w:tcPr>
          <w:p>
            <w:pPr>
              <w:spacing w:before="20" w:after="20"/>
              <w:jc w:val="right"/>
            </w:pPr>
            <w:r>
              <w:rPr>
                <w:sz w:val="15"/>
                <w:szCs w:val="15"/>
              </w:rPr>
              <w:t xml:space="preserve">1,8</w:t>
            </w:r>
          </w:p>
        </w:tc>
        <w:tc>
          <w:tcPr>
            <w:tcW w:w="1250" w:type="dxa"/>
            <w:vAlign w:val="center"/>
          </w:tcPr>
          <w:p>
            <w:pPr>
              <w:spacing w:before="20" w:after="20"/>
              <w:jc w:val="right"/>
            </w:pPr>
            <w:r>
              <w:rPr>
                <w:sz w:val="15"/>
                <w:szCs w:val="15"/>
              </w:rPr>
              <w:t xml:space="preserve">−1 %</w:t>
            </w:r>
          </w:p>
        </w:tc>
        <w:tc>
          <w:tcPr>
            <w:tcW w:w="1250" w:type="dxa"/>
            <w:vAlign w:val="center"/>
          </w:tcPr>
          <w:p>
            <w:pPr>
              <w:spacing w:before="20" w:after="20"/>
              <w:jc w:val="right"/>
            </w:pPr>
            <w:r>
              <w:rPr>
                <w:sz w:val="15"/>
                <w:szCs w:val="15"/>
              </w:rPr>
              <w:t xml:space="preserve">5 %</w:t>
            </w:r>
          </w:p>
        </w:tc>
        <w:tc>
          <w:tcPr>
            <w:tcW w:w="1100" w:type="dxa"/>
            <w:vAlign w:val="center"/>
          </w:tcPr>
          <w:p>
            <w:pPr>
              <w:spacing w:before="20" w:after="20"/>
              <w:jc w:val="right"/>
            </w:pPr>
            <w:r>
              <w:rPr>
                <w:sz w:val="15"/>
                <w:szCs w:val="15"/>
              </w:rPr>
              <w:t xml:space="preserve">17,9 %</w:t>
            </w:r>
          </w:p>
        </w:tc>
      </w:tr>
      <w:tr>
        <w:trPr>
          <w:cantSplit/>
        </w:trPr>
        <w:tc>
          <w:tcPr>
            <w:tcW w:w="1500" w:type="dxa"/>
            <w:shd w:val="clear" w:color="auto" w:fill="F2F4F7"/>
            <w:vAlign w:val="center"/>
          </w:tcPr>
          <w:p>
            <w:pPr>
              <w:spacing w:before="20" w:after="20"/>
              <w:jc w:val="left"/>
            </w:pPr>
            <w:r>
              <w:rPr>
                <w:b/>
                <w:sz w:val="15"/>
                <w:szCs w:val="15"/>
              </w:rPr>
              <w:t xml:space="preserve">Honduras</w:t>
            </w:r>
          </w:p>
        </w:tc>
        <w:tc>
          <w:tcPr>
            <w:tcW w:w="1150" w:type="dxa"/>
            <w:shd w:val="clear" w:color="auto" w:fill="F2F4F7"/>
            <w:vAlign w:val="center"/>
          </w:tcPr>
          <w:p>
            <w:pPr>
              <w:spacing w:before="20" w:after="20"/>
              <w:jc w:val="right"/>
            </w:pPr>
            <w:r>
              <w:rPr>
                <w:sz w:val="15"/>
                <w:szCs w:val="15"/>
              </w:rPr>
              <w:t xml:space="preserve">3 %</w:t>
            </w:r>
          </w:p>
        </w:tc>
        <w:tc>
          <w:tcPr>
            <w:tcW w:w="1150" w:type="dxa"/>
            <w:shd w:val="clear" w:color="auto" w:fill="F2F4F7"/>
            <w:vAlign w:val="center"/>
          </w:tcPr>
          <w:p>
            <w:pPr>
              <w:spacing w:before="20" w:after="20"/>
              <w:jc w:val="right"/>
            </w:pPr>
            <w:r>
              <w:rPr>
                <w:sz w:val="15"/>
                <w:szCs w:val="15"/>
              </w:rPr>
              <w:t xml:space="preserve">3 %</w:t>
            </w:r>
          </w:p>
        </w:tc>
        <w:tc>
          <w:tcPr>
            <w:tcW w:w="1300" w:type="dxa"/>
            <w:shd w:val="clear" w:color="auto" w:fill="F2F4F7"/>
            <w:vAlign w:val="center"/>
          </w:tcPr>
          <w:p>
            <w:pPr>
              <w:spacing w:before="20" w:after="20"/>
              <w:jc w:val="right"/>
            </w:pPr>
            <w:r>
              <w:rPr>
                <w:sz w:val="15"/>
                <w:szCs w:val="15"/>
              </w:rPr>
              <w:t xml:space="preserve">9 %</w:t>
            </w:r>
          </w:p>
        </w:tc>
        <w:tc>
          <w:tcPr>
            <w:tcW w:w="1250" w:type="dxa"/>
            <w:shd w:val="clear" w:color="auto" w:fill="F2F4F7"/>
            <w:vAlign w:val="center"/>
          </w:tcPr>
          <w:p>
            <w:pPr>
              <w:spacing w:before="20" w:after="20"/>
              <w:jc w:val="right"/>
            </w:pPr>
            <w:r>
              <w:rPr>
                <w:sz w:val="15"/>
                <w:szCs w:val="15"/>
              </w:rPr>
              <w:t xml:space="preserve">6,7</w:t>
            </w:r>
          </w:p>
        </w:tc>
        <w:tc>
          <w:tcPr>
            <w:tcW w:w="1250" w:type="dxa"/>
            <w:shd w:val="clear" w:color="auto" w:fill="F2F4F7"/>
            <w:vAlign w:val="center"/>
          </w:tcPr>
          <w:p>
            <w:pPr>
              <w:spacing w:before="20" w:after="20"/>
              <w:jc w:val="right"/>
            </w:pPr>
            <w:r>
              <w:rPr>
                <w:sz w:val="15"/>
                <w:szCs w:val="15"/>
              </w:rPr>
              <w:t xml:space="preserve">5 %</w:t>
            </w:r>
          </w:p>
        </w:tc>
        <w:tc>
          <w:tcPr>
            <w:tcW w:w="1250" w:type="dxa"/>
            <w:shd w:val="clear" w:color="auto" w:fill="F2F4F7"/>
            <w:vAlign w:val="center"/>
          </w:tcPr>
          <w:p>
            <w:pPr>
              <w:spacing w:before="20" w:after="20"/>
              <w:jc w:val="right"/>
            </w:pPr>
            <w:r>
              <w:rPr>
                <w:sz w:val="15"/>
                <w:szCs w:val="15"/>
              </w:rPr>
              <w:t xml:space="preserve">1 %</w:t>
            </w:r>
          </w:p>
        </w:tc>
        <w:tc>
          <w:tcPr>
            <w:tcW w:w="1100" w:type="dxa"/>
            <w:shd w:val="clear" w:color="auto" w:fill="F2F4F7"/>
            <w:vAlign w:val="center"/>
          </w:tcPr>
          <w:p>
            <w:pPr>
              <w:spacing w:before="20" w:after="20"/>
              <w:jc w:val="right"/>
            </w:pPr>
            <w:r>
              <w:rPr>
                <w:sz w:val="15"/>
                <w:szCs w:val="15"/>
              </w:rPr>
              <w:t xml:space="preserve">4,2 %</w:t>
            </w:r>
          </w:p>
        </w:tc>
      </w:tr>
      <w:tr>
        <w:trPr>
          <w:cantSplit/>
        </w:trPr>
        <w:tc>
          <w:tcPr>
            <w:tcW w:w="1500" w:type="dxa"/>
            <w:vAlign w:val="center"/>
          </w:tcPr>
          <w:p>
            <w:pPr>
              <w:spacing w:before="20" w:after="20"/>
              <w:jc w:val="left"/>
            </w:pPr>
            <w:r>
              <w:rPr>
                <w:b/>
                <w:sz w:val="15"/>
                <w:szCs w:val="15"/>
              </w:rPr>
              <w:t xml:space="preserve">Pérou</w:t>
            </w:r>
          </w:p>
        </w:tc>
        <w:tc>
          <w:tcPr>
            <w:tcW w:w="1150" w:type="dxa"/>
            <w:vAlign w:val="center"/>
          </w:tcPr>
          <w:p>
            <w:pPr>
              <w:spacing w:before="20" w:after="20"/>
              <w:jc w:val="right"/>
            </w:pPr>
            <w:r>
              <w:rPr>
                <w:sz w:val="15"/>
                <w:szCs w:val="15"/>
              </w:rPr>
              <w:t xml:space="preserve">3 %</w:t>
            </w:r>
          </w:p>
        </w:tc>
        <w:tc>
          <w:tcPr>
            <w:tcW w:w="1150" w:type="dxa"/>
            <w:vAlign w:val="center"/>
          </w:tcPr>
          <w:p>
            <w:pPr>
              <w:spacing w:before="20" w:after="20"/>
              <w:jc w:val="right"/>
            </w:pPr>
            <w:r>
              <w:rPr>
                <w:sz w:val="15"/>
                <w:szCs w:val="15"/>
              </w:rPr>
              <w:t xml:space="preserve">3 %</w:t>
            </w:r>
          </w:p>
        </w:tc>
        <w:tc>
          <w:tcPr>
            <w:tcW w:w="1300" w:type="dxa"/>
            <w:vAlign w:val="center"/>
          </w:tcPr>
          <w:p>
            <w:pPr>
              <w:spacing w:before="20" w:after="20"/>
              <w:jc w:val="right"/>
            </w:pPr>
            <w:r>
              <w:rPr>
                <w:sz w:val="15"/>
                <w:szCs w:val="15"/>
              </w:rPr>
              <w:t xml:space="preserve">0 %</w:t>
            </w:r>
          </w:p>
        </w:tc>
        <w:tc>
          <w:tcPr>
            <w:tcW w:w="1250" w:type="dxa"/>
            <w:vAlign w:val="center"/>
          </w:tcPr>
          <w:p>
            <w:pPr>
              <w:spacing w:before="20" w:after="20"/>
              <w:jc w:val="right"/>
            </w:pPr>
            <w:r>
              <w:rPr>
                <w:sz w:val="15"/>
                <w:szCs w:val="15"/>
              </w:rPr>
              <w:t xml:space="preserve">0,3</w:t>
            </w:r>
          </w:p>
        </w:tc>
        <w:tc>
          <w:tcPr>
            <w:tcW w:w="1250" w:type="dxa"/>
            <w:vAlign w:val="center"/>
          </w:tcPr>
          <w:p>
            <w:pPr>
              <w:spacing w:before="20" w:after="20"/>
              <w:jc w:val="right"/>
            </w:pPr>
            <w:r>
              <w:rPr>
                <w:sz w:val="15"/>
                <w:szCs w:val="15"/>
              </w:rPr>
              <w:t xml:space="preserve">0 %</w:t>
            </w:r>
          </w:p>
        </w:tc>
        <w:tc>
          <w:tcPr>
            <w:tcW w:w="1250" w:type="dxa"/>
            <w:vAlign w:val="center"/>
          </w:tcPr>
          <w:p>
            <w:pPr>
              <w:spacing w:before="20" w:after="20"/>
              <w:jc w:val="right"/>
            </w:pPr>
            <w:r>
              <w:rPr>
                <w:sz w:val="15"/>
                <w:szCs w:val="15"/>
              </w:rPr>
              <w:t xml:space="preserve">0 %</w:t>
            </w:r>
          </w:p>
        </w:tc>
        <w:tc>
          <w:tcPr>
            <w:tcW w:w="1100" w:type="dxa"/>
            <w:vAlign w:val="center"/>
          </w:tcPr>
          <w:p>
            <w:pPr>
              <w:spacing w:before="20" w:after="20"/>
              <w:jc w:val="right"/>
            </w:pPr>
            <w:r>
              <w:rPr>
                <w:sz w:val="15"/>
                <w:szCs w:val="15"/>
              </w:rPr>
              <w:t xml:space="preserve">1,4 %</w:t>
            </w:r>
          </w:p>
        </w:tc>
      </w:tr>
      <w:tr>
        <w:trPr>
          <w:cantSplit/>
        </w:trPr>
        <w:tc>
          <w:tcPr>
            <w:tcW w:w="1500" w:type="dxa"/>
            <w:shd w:val="clear" w:color="auto" w:fill="F2F4F7"/>
            <w:vAlign w:val="center"/>
          </w:tcPr>
          <w:p>
            <w:pPr>
              <w:spacing w:before="20" w:after="20"/>
              <w:jc w:val="left"/>
            </w:pPr>
            <w:r>
              <w:rPr>
                <w:b/>
                <w:sz w:val="15"/>
                <w:szCs w:val="15"/>
              </w:rPr>
              <w:t xml:space="preserve">Mexique</w:t>
            </w:r>
          </w:p>
        </w:tc>
        <w:tc>
          <w:tcPr>
            <w:tcW w:w="1150" w:type="dxa"/>
            <w:shd w:val="clear" w:color="auto" w:fill="F2F4F7"/>
            <w:vAlign w:val="center"/>
          </w:tcPr>
          <w:p>
            <w:pPr>
              <w:spacing w:before="20" w:after="20"/>
              <w:jc w:val="right"/>
            </w:pPr>
            <w:r>
              <w:rPr>
                <w:sz w:val="15"/>
                <w:szCs w:val="15"/>
              </w:rPr>
              <w:t xml:space="preserve">2 %</w:t>
            </w:r>
          </w:p>
        </w:tc>
        <w:tc>
          <w:tcPr>
            <w:tcW w:w="1150" w:type="dxa"/>
            <w:shd w:val="clear" w:color="auto" w:fill="F2F4F7"/>
            <w:vAlign w:val="center"/>
          </w:tcPr>
          <w:p>
            <w:pPr>
              <w:spacing w:before="20" w:after="20"/>
              <w:jc w:val="right"/>
            </w:pPr>
            <w:r>
              <w:rPr>
                <w:sz w:val="15"/>
                <w:szCs w:val="15"/>
              </w:rPr>
              <w:t xml:space="preserve">2 %</w:t>
            </w:r>
          </w:p>
        </w:tc>
        <w:tc>
          <w:tcPr>
            <w:tcW w:w="1300" w:type="dxa"/>
            <w:shd w:val="clear" w:color="auto" w:fill="F2F4F7"/>
            <w:vAlign w:val="center"/>
          </w:tcPr>
          <w:p>
            <w:pPr>
              <w:spacing w:before="20" w:after="20"/>
              <w:jc w:val="right"/>
            </w:pPr>
            <w:r>
              <w:rPr>
                <w:sz w:val="15"/>
                <w:szCs w:val="15"/>
              </w:rPr>
              <w:t xml:space="preserve">0 %</w:t>
            </w:r>
          </w:p>
        </w:tc>
        <w:tc>
          <w:tcPr>
            <w:tcW w:w="1250" w:type="dxa"/>
            <w:shd w:val="clear" w:color="auto" w:fill="F2F4F7"/>
            <w:vAlign w:val="center"/>
          </w:tcPr>
          <w:p>
            <w:pPr>
              <w:spacing w:before="20" w:after="20"/>
              <w:jc w:val="right"/>
            </w:pPr>
            <w:r>
              <w:rPr>
                <w:sz w:val="15"/>
                <w:szCs w:val="15"/>
              </w:rPr>
              <w:t xml:space="preserve">0,1</w:t>
            </w:r>
          </w:p>
        </w:tc>
        <w:tc>
          <w:tcPr>
            <w:tcW w:w="1250" w:type="dxa"/>
            <w:shd w:val="clear" w:color="auto" w:fill="F2F4F7"/>
            <w:vAlign w:val="center"/>
          </w:tcPr>
          <w:p>
            <w:pPr>
              <w:spacing w:before="20" w:after="20"/>
              <w:jc w:val="right"/>
            </w:pPr>
            <w:r>
              <w:rPr>
                <w:sz w:val="15"/>
                <w:szCs w:val="15"/>
              </w:rPr>
              <w:t xml:space="preserve">1 %</w:t>
            </w:r>
          </w:p>
        </w:tc>
        <w:tc>
          <w:tcPr>
            <w:tcW w:w="1250" w:type="dxa"/>
            <w:shd w:val="clear" w:color="auto" w:fill="F2F4F7"/>
            <w:vAlign w:val="center"/>
          </w:tcPr>
          <w:p>
            <w:pPr>
              <w:spacing w:before="20" w:after="20"/>
              <w:jc w:val="right"/>
            </w:pPr>
            <w:r>
              <w:rPr>
                <w:sz w:val="15"/>
                <w:szCs w:val="15"/>
              </w:rPr>
              <w:t xml:space="preserve">−1 %</w:t>
            </w:r>
          </w:p>
        </w:tc>
        <w:tc>
          <w:tcPr>
            <w:tcW w:w="1100" w:type="dxa"/>
            <w:shd w:val="clear" w:color="auto" w:fill="F2F4F7"/>
            <w:vAlign w:val="center"/>
          </w:tcPr>
          <w:p>
            <w:pPr>
              <w:spacing w:before="20" w:after="20"/>
              <w:jc w:val="right"/>
            </w:pPr>
            <w:r>
              <w:rPr>
                <w:sz w:val="15"/>
                <w:szCs w:val="15"/>
              </w:rPr>
              <w:t xml:space="preserve">1,6 %</w:t>
            </w:r>
          </w:p>
        </w:tc>
      </w:tr>
      <w:tr>
        <w:trPr>
          <w:cantSplit/>
        </w:trPr>
        <w:tc>
          <w:tcPr>
            <w:tcW w:w="1500" w:type="dxa"/>
            <w:vAlign w:val="center"/>
          </w:tcPr>
          <w:p>
            <w:pPr>
              <w:spacing w:before="20" w:after="20"/>
              <w:jc w:val="left"/>
            </w:pPr>
            <w:r>
              <w:rPr>
                <w:b/>
                <w:sz w:val="15"/>
                <w:szCs w:val="15"/>
              </w:rPr>
              <w:t xml:space="preserve">Guatemala</w:t>
            </w:r>
          </w:p>
        </w:tc>
        <w:tc>
          <w:tcPr>
            <w:tcW w:w="1150" w:type="dxa"/>
            <w:vAlign w:val="center"/>
          </w:tcPr>
          <w:p>
            <w:pPr>
              <w:spacing w:before="20" w:after="20"/>
              <w:jc w:val="right"/>
            </w:pPr>
            <w:r>
              <w:rPr>
                <w:sz w:val="15"/>
                <w:szCs w:val="15"/>
              </w:rPr>
              <w:t xml:space="preserve">2 %</w:t>
            </w:r>
          </w:p>
        </w:tc>
        <w:tc>
          <w:tcPr>
            <w:tcW w:w="1150" w:type="dxa"/>
            <w:vAlign w:val="center"/>
          </w:tcPr>
          <w:p>
            <w:pPr>
              <w:spacing w:before="20" w:after="20"/>
              <w:jc w:val="right"/>
            </w:pPr>
            <w:r>
              <w:rPr>
                <w:sz w:val="15"/>
                <w:szCs w:val="15"/>
              </w:rPr>
              <w:t xml:space="preserve">2 %</w:t>
            </w:r>
          </w:p>
        </w:tc>
        <w:tc>
          <w:tcPr>
            <w:tcW w:w="1300" w:type="dxa"/>
            <w:vAlign w:val="center"/>
          </w:tcPr>
          <w:p>
            <w:pPr>
              <w:spacing w:before="20" w:after="20"/>
              <w:jc w:val="right"/>
            </w:pPr>
            <w:r>
              <w:rPr>
                <w:sz w:val="15"/>
                <w:szCs w:val="15"/>
              </w:rPr>
              <w:t xml:space="preserve">0 %</w:t>
            </w:r>
          </w:p>
        </w:tc>
        <w:tc>
          <w:tcPr>
            <w:tcW w:w="1250" w:type="dxa"/>
            <w:vAlign w:val="center"/>
          </w:tcPr>
          <w:p>
            <w:pPr>
              <w:spacing w:before="20" w:after="20"/>
              <w:jc w:val="right"/>
            </w:pPr>
            <w:r>
              <w:rPr>
                <w:sz w:val="15"/>
                <w:szCs w:val="15"/>
              </w:rPr>
              <w:t xml:space="preserve">0,3</w:t>
            </w:r>
          </w:p>
        </w:tc>
        <w:tc>
          <w:tcPr>
            <w:tcW w:w="1250" w:type="dxa"/>
            <w:vAlign w:val="center"/>
          </w:tcPr>
          <w:p>
            <w:pPr>
              <w:spacing w:before="20" w:after="20"/>
              <w:jc w:val="right"/>
            </w:pPr>
            <w:r>
              <w:rPr>
                <w:sz w:val="15"/>
                <w:szCs w:val="15"/>
              </w:rPr>
              <w:t xml:space="preserve">1 %</w:t>
            </w:r>
          </w:p>
        </w:tc>
        <w:tc>
          <w:tcPr>
            <w:tcW w:w="1250" w:type="dxa"/>
            <w:vAlign w:val="center"/>
          </w:tcPr>
          <w:p>
            <w:pPr>
              <w:spacing w:before="20" w:after="20"/>
              <w:jc w:val="right"/>
            </w:pPr>
            <w:r>
              <w:rPr>
                <w:sz w:val="15"/>
                <w:szCs w:val="15"/>
              </w:rPr>
              <w:t xml:space="preserve">−1 %</w:t>
            </w:r>
          </w:p>
        </w:tc>
        <w:tc>
          <w:tcPr>
            <w:tcW w:w="1100" w:type="dxa"/>
            <w:vAlign w:val="center"/>
          </w:tcPr>
          <w:p>
            <w:pPr>
              <w:spacing w:before="20" w:after="20"/>
              <w:jc w:val="right"/>
            </w:pPr>
            <w:r>
              <w:rPr>
                <w:sz w:val="15"/>
                <w:szCs w:val="15"/>
              </w:rPr>
              <w:t xml:space="preserve">2,3 %</w:t>
            </w:r>
          </w:p>
        </w:tc>
      </w:tr>
      <w:tr>
        <w:trPr>
          <w:cantSplit/>
        </w:trPr>
        <w:tc>
          <w:tcPr>
            <w:tcW w:w="1500" w:type="dxa"/>
            <w:shd w:val="clear" w:color="auto" w:fill="F2F4F7"/>
            <w:vAlign w:val="center"/>
          </w:tcPr>
          <w:p>
            <w:pPr>
              <w:spacing w:before="20" w:after="20"/>
              <w:jc w:val="left"/>
            </w:pPr>
            <w:r>
              <w:rPr>
                <w:b/>
                <w:sz w:val="15"/>
                <w:szCs w:val="15"/>
              </w:rPr>
              <w:t xml:space="preserve">Nicaragua</w:t>
            </w:r>
          </w:p>
        </w:tc>
        <w:tc>
          <w:tcPr>
            <w:tcW w:w="1150" w:type="dxa"/>
            <w:shd w:val="clear" w:color="auto" w:fill="F2F4F7"/>
            <w:vAlign w:val="center"/>
          </w:tcPr>
          <w:p>
            <w:pPr>
              <w:spacing w:before="20" w:after="20"/>
              <w:jc w:val="right"/>
            </w:pPr>
            <w:r>
              <w:rPr>
                <w:sz w:val="15"/>
                <w:szCs w:val="15"/>
              </w:rPr>
              <w:t xml:space="preserve">1 %</w:t>
            </w:r>
          </w:p>
        </w:tc>
        <w:tc>
          <w:tcPr>
            <w:tcW w:w="1150" w:type="dxa"/>
            <w:shd w:val="clear" w:color="auto" w:fill="F2F4F7"/>
            <w:vAlign w:val="center"/>
          </w:tcPr>
          <w:p>
            <w:pPr>
              <w:spacing w:before="20" w:after="20"/>
              <w:jc w:val="right"/>
            </w:pPr>
            <w:r>
              <w:rPr>
                <w:sz w:val="15"/>
                <w:szCs w:val="15"/>
              </w:rPr>
              <w:t xml:space="preserve">1 %</w:t>
            </w:r>
          </w:p>
        </w:tc>
        <w:tc>
          <w:tcPr>
            <w:tcW w:w="1300" w:type="dxa"/>
            <w:shd w:val="clear" w:color="auto" w:fill="F2F4F7"/>
            <w:vAlign w:val="center"/>
          </w:tcPr>
          <w:p>
            <w:pPr>
              <w:spacing w:before="20" w:after="20"/>
              <w:jc w:val="right"/>
            </w:pPr>
            <w:r>
              <w:rPr>
                <w:sz w:val="15"/>
                <w:szCs w:val="15"/>
              </w:rPr>
              <w:t xml:space="preserve">1 %</w:t>
            </w:r>
          </w:p>
        </w:tc>
        <w:tc>
          <w:tcPr>
            <w:tcW w:w="1250" w:type="dxa"/>
            <w:shd w:val="clear" w:color="auto" w:fill="F2F4F7"/>
            <w:vAlign w:val="center"/>
          </w:tcPr>
          <w:p>
            <w:pPr>
              <w:spacing w:before="20" w:after="20"/>
              <w:jc w:val="right"/>
            </w:pPr>
            <w:r>
              <w:rPr>
                <w:sz w:val="15"/>
                <w:szCs w:val="15"/>
              </w:rPr>
              <w:t xml:space="preserve">2,0</w:t>
            </w:r>
          </w:p>
        </w:tc>
        <w:tc>
          <w:tcPr>
            <w:tcW w:w="1250" w:type="dxa"/>
            <w:shd w:val="clear" w:color="auto" w:fill="F2F4F7"/>
            <w:vAlign w:val="center"/>
          </w:tcPr>
          <w:p>
            <w:pPr>
              <w:spacing w:before="20" w:after="20"/>
              <w:jc w:val="right"/>
            </w:pPr>
            <w:r>
              <w:rPr>
                <w:sz w:val="15"/>
                <w:szCs w:val="15"/>
              </w:rPr>
              <w:t xml:space="preserve">0 %</w:t>
            </w:r>
          </w:p>
        </w:tc>
        <w:tc>
          <w:tcPr>
            <w:tcW w:w="1250" w:type="dxa"/>
            <w:shd w:val="clear" w:color="auto" w:fill="F2F4F7"/>
            <w:vAlign w:val="center"/>
          </w:tcPr>
          <w:p>
            <w:pPr>
              <w:spacing w:before="20" w:after="20"/>
              <w:jc w:val="right"/>
            </w:pPr>
            <w:r>
              <w:rPr>
                <w:sz w:val="15"/>
                <w:szCs w:val="15"/>
              </w:rPr>
              <w:t xml:space="preserve">−1 %</w:t>
            </w:r>
          </w:p>
        </w:tc>
        <w:tc>
          <w:tcPr>
            <w:tcW w:w="1100" w:type="dxa"/>
            <w:shd w:val="clear" w:color="auto" w:fill="F2F4F7"/>
            <w:vAlign w:val="center"/>
          </w:tcPr>
          <w:p>
            <w:pPr>
              <w:spacing w:before="20" w:after="20"/>
              <w:jc w:val="right"/>
            </w:pPr>
            <w:r>
              <w:rPr>
                <w:sz w:val="15"/>
                <w:szCs w:val="15"/>
              </w:rPr>
              <w:t xml:space="preserve">3,2 %</w:t>
            </w:r>
          </w:p>
        </w:tc>
      </w:tr>
      <w:tr>
        <w:trPr>
          <w:cantSplit/>
        </w:trPr>
        <w:tc>
          <w:tcPr>
            <w:tcW w:w="1500" w:type="dxa"/>
            <w:vAlign w:val="center"/>
          </w:tcPr>
          <w:p>
            <w:pPr>
              <w:spacing w:before="20" w:after="20"/>
              <w:jc w:val="left"/>
            </w:pPr>
            <w:r>
              <w:rPr>
                <w:b/>
                <w:sz w:val="15"/>
                <w:szCs w:val="15"/>
              </w:rPr>
              <w:t xml:space="preserve">Tanzanie</w:t>
            </w:r>
          </w:p>
        </w:tc>
        <w:tc>
          <w:tcPr>
            <w:tcW w:w="1150" w:type="dxa"/>
            <w:vAlign w:val="center"/>
          </w:tcPr>
          <w:p>
            <w:pPr>
              <w:spacing w:before="20" w:after="20"/>
              <w:jc w:val="right"/>
            </w:pPr>
            <w:r>
              <w:rPr>
                <w:sz w:val="15"/>
                <w:szCs w:val="15"/>
              </w:rPr>
              <w:t xml:space="preserve">1 %</w:t>
            </w:r>
          </w:p>
        </w:tc>
        <w:tc>
          <w:tcPr>
            <w:tcW w:w="1150" w:type="dxa"/>
            <w:vAlign w:val="center"/>
          </w:tcPr>
          <w:p>
            <w:pPr>
              <w:spacing w:before="20" w:after="20"/>
              <w:jc w:val="right"/>
            </w:pPr>
            <w:r>
              <w:rPr>
                <w:sz w:val="15"/>
                <w:szCs w:val="15"/>
              </w:rPr>
              <w:t xml:space="preserve">1 %</w:t>
            </w:r>
          </w:p>
        </w:tc>
        <w:tc>
          <w:tcPr>
            <w:tcW w:w="1300" w:type="dxa"/>
            <w:vAlign w:val="center"/>
          </w:tcPr>
          <w:p>
            <w:pPr>
              <w:spacing w:before="20" w:after="20"/>
              <w:jc w:val="right"/>
            </w:pPr>
            <w:r>
              <w:rPr>
                <w:sz w:val="15"/>
                <w:szCs w:val="15"/>
              </w:rPr>
              <w:t xml:space="preserve">2 %</w:t>
            </w:r>
          </w:p>
        </w:tc>
        <w:tc>
          <w:tcPr>
            <w:tcW w:w="1250" w:type="dxa"/>
            <w:vAlign w:val="center"/>
          </w:tcPr>
          <w:p>
            <w:pPr>
              <w:spacing w:before="20" w:after="20"/>
              <w:jc w:val="right"/>
            </w:pPr>
            <w:r>
              <w:rPr>
                <w:sz w:val="15"/>
                <w:szCs w:val="15"/>
              </w:rPr>
              <w:t xml:space="preserve">5,8</w:t>
            </w:r>
          </w:p>
        </w:tc>
        <w:tc>
          <w:tcPr>
            <w:tcW w:w="1250" w:type="dxa"/>
            <w:vAlign w:val="center"/>
          </w:tcPr>
          <w:p>
            <w:pPr>
              <w:spacing w:before="20" w:after="20"/>
              <w:jc w:val="right"/>
            </w:pPr>
            <w:r>
              <w:rPr>
                <w:sz w:val="15"/>
                <w:szCs w:val="15"/>
              </w:rPr>
              <w:t xml:space="preserve">0 %</w:t>
            </w:r>
          </w:p>
        </w:tc>
        <w:tc>
          <w:tcPr>
            <w:tcW w:w="1250" w:type="dxa"/>
            <w:vAlign w:val="center"/>
          </w:tcPr>
          <w:p>
            <w:pPr>
              <w:spacing w:before="20" w:after="20"/>
              <w:jc w:val="right"/>
            </w:pPr>
            <w:r>
              <w:rPr>
                <w:sz w:val="15"/>
                <w:szCs w:val="15"/>
              </w:rPr>
              <w:t xml:space="preserve">1 %</w:t>
            </w:r>
          </w:p>
        </w:tc>
        <w:tc>
          <w:tcPr>
            <w:tcW w:w="1100" w:type="dxa"/>
            <w:vAlign w:val="center"/>
          </w:tcPr>
          <w:p>
            <w:pPr>
              <w:spacing w:before="20" w:after="20"/>
              <w:jc w:val="right"/>
            </w:pPr>
            <w:r>
              <w:rPr>
                <w:sz w:val="15"/>
                <w:szCs w:val="15"/>
              </w:rPr>
              <w:t xml:space="preserve">13,3 %</w:t>
            </w:r>
          </w:p>
        </w:tc>
      </w:tr>
      <w:tr>
        <w:trPr>
          <w:cantSplit/>
        </w:trPr>
        <w:tc>
          <w:tcPr>
            <w:tcW w:w="1500" w:type="dxa"/>
            <w:shd w:val="clear" w:color="auto" w:fill="F2F4F7"/>
            <w:vAlign w:val="center"/>
          </w:tcPr>
          <w:p>
            <w:pPr>
              <w:spacing w:before="20" w:after="20"/>
              <w:jc w:val="left"/>
            </w:pPr>
            <w:r>
              <w:rPr>
                <w:b/>
                <w:sz w:val="15"/>
                <w:szCs w:val="15"/>
              </w:rPr>
              <w:t xml:space="preserve">Malaisie</w:t>
            </w:r>
          </w:p>
        </w:tc>
        <w:tc>
          <w:tcPr>
            <w:tcW w:w="1150" w:type="dxa"/>
            <w:shd w:val="clear" w:color="auto" w:fill="F2F4F7"/>
            <w:vAlign w:val="center"/>
          </w:tcPr>
          <w:p>
            <w:pPr>
              <w:spacing w:before="20" w:after="20"/>
              <w:jc w:val="right"/>
            </w:pPr>
            <w:r>
              <w:rPr>
                <w:sz w:val="15"/>
                <w:szCs w:val="15"/>
              </w:rPr>
              <w:t xml:space="preserve">1 %</w:t>
            </w:r>
          </w:p>
        </w:tc>
        <w:tc>
          <w:tcPr>
            <w:tcW w:w="1150" w:type="dxa"/>
            <w:shd w:val="clear" w:color="auto" w:fill="F2F4F7"/>
            <w:vAlign w:val="center"/>
          </w:tcPr>
          <w:p>
            <w:pPr>
              <w:spacing w:before="20" w:after="20"/>
              <w:jc w:val="right"/>
            </w:pPr>
            <w:r>
              <w:rPr>
                <w:sz w:val="15"/>
                <w:szCs w:val="15"/>
              </w:rPr>
              <w:t xml:space="preserve">2 %</w:t>
            </w:r>
          </w:p>
        </w:tc>
        <w:tc>
          <w:tcPr>
            <w:tcW w:w="1300" w:type="dxa"/>
            <w:shd w:val="clear" w:color="auto" w:fill="F2F4F7"/>
            <w:vAlign w:val="center"/>
          </w:tcPr>
          <w:p>
            <w:pPr>
              <w:spacing w:before="20" w:after="20"/>
              <w:jc w:val="right"/>
            </w:pPr>
            <w:r>
              <w:rPr>
                <w:sz w:val="15"/>
                <w:szCs w:val="15"/>
              </w:rPr>
              <w:t xml:space="preserve">0 %</w:t>
            </w:r>
          </w:p>
        </w:tc>
        <w:tc>
          <w:tcPr>
            <w:tcW w:w="1250" w:type="dxa"/>
            <w:shd w:val="clear" w:color="auto" w:fill="F2F4F7"/>
            <w:vAlign w:val="center"/>
          </w:tcPr>
          <w:p>
            <w:pPr>
              <w:spacing w:before="20" w:after="20"/>
              <w:jc w:val="right"/>
            </w:pPr>
            <w:r>
              <w:rPr>
                <w:sz w:val="15"/>
                <w:szCs w:val="15"/>
              </w:rPr>
              <w:t xml:space="preserve">0,0</w:t>
            </w:r>
          </w:p>
        </w:tc>
        <w:tc>
          <w:tcPr>
            <w:tcW w:w="1250" w:type="dxa"/>
            <w:shd w:val="clear" w:color="auto" w:fill="F2F4F7"/>
            <w:vAlign w:val="center"/>
          </w:tcPr>
          <w:p>
            <w:pPr>
              <w:spacing w:before="20" w:after="20"/>
              <w:jc w:val="right"/>
            </w:pPr>
            <w:r>
              <w:rPr>
                <w:sz w:val="15"/>
                <w:szCs w:val="15"/>
              </w:rPr>
              <w:t xml:space="preserve">−1 %</w:t>
            </w:r>
          </w:p>
        </w:tc>
        <w:tc>
          <w:tcPr>
            <w:tcW w:w="1250" w:type="dxa"/>
            <w:shd w:val="clear" w:color="auto" w:fill="F2F4F7"/>
            <w:vAlign w:val="center"/>
          </w:tcPr>
          <w:p>
            <w:pPr>
              <w:spacing w:before="20" w:after="20"/>
              <w:jc w:val="right"/>
            </w:pPr>
            <w:r>
              <w:rPr>
                <w:sz w:val="15"/>
                <w:szCs w:val="15"/>
              </w:rPr>
              <w:t xml:space="preserve">0 %</w:t>
            </w:r>
          </w:p>
        </w:tc>
        <w:tc>
          <w:tcPr>
            <w:tcW w:w="1100" w:type="dxa"/>
            <w:shd w:val="clear" w:color="auto" w:fill="F2F4F7"/>
            <w:vAlign w:val="center"/>
          </w:tcPr>
          <w:p>
            <w:pPr>
              <w:spacing w:before="20" w:after="20"/>
              <w:jc w:val="right"/>
            </w:pPr>
            <w:r>
              <w:rPr>
                <w:sz w:val="15"/>
                <w:szCs w:val="15"/>
              </w:rPr>
              <w:t xml:space="preserve">0,0 %</w:t>
            </w:r>
          </w:p>
        </w:tc>
      </w:tr>
      <w:tr>
        <w:trPr>
          <w:cantSplit/>
        </w:trPr>
        <w:tc>
          <w:tcPr>
            <w:tcW w:w="1500" w:type="dxa"/>
            <w:vAlign w:val="center"/>
          </w:tcPr>
          <w:p>
            <w:pPr>
              <w:spacing w:before="20" w:after="20"/>
              <w:jc w:val="left"/>
            </w:pPr>
            <w:r>
              <w:rPr>
                <w:b/>
                <w:sz w:val="15"/>
                <w:szCs w:val="15"/>
              </w:rPr>
              <w:t xml:space="preserve">Côte d'Ivoire</w:t>
            </w:r>
          </w:p>
        </w:tc>
        <w:tc>
          <w:tcPr>
            <w:tcW w:w="1150" w:type="dxa"/>
            <w:vAlign w:val="center"/>
          </w:tcPr>
          <w:p>
            <w:pPr>
              <w:spacing w:before="20" w:after="20"/>
              <w:jc w:val="right"/>
            </w:pPr>
            <w:r>
              <w:rPr>
                <w:sz w:val="15"/>
                <w:szCs w:val="15"/>
              </w:rPr>
              <w:t xml:space="preserve">1 %</w:t>
            </w:r>
          </w:p>
        </w:tc>
        <w:tc>
          <w:tcPr>
            <w:tcW w:w="1150" w:type="dxa"/>
            <w:vAlign w:val="center"/>
          </w:tcPr>
          <w:p>
            <w:pPr>
              <w:spacing w:before="20" w:after="20"/>
              <w:jc w:val="right"/>
            </w:pPr>
            <w:r>
              <w:rPr>
                <w:sz w:val="15"/>
                <w:szCs w:val="15"/>
              </w:rPr>
              <w:t xml:space="preserve">1 %</w:t>
            </w:r>
          </w:p>
        </w:tc>
        <w:tc>
          <w:tcPr>
            <w:tcW w:w="1300" w:type="dxa"/>
            <w:vAlign w:val="center"/>
          </w:tcPr>
          <w:p>
            <w:pPr>
              <w:spacing w:before="20" w:after="20"/>
              <w:jc w:val="right"/>
            </w:pPr>
            <w:r>
              <w:rPr>
                <w:sz w:val="15"/>
                <w:szCs w:val="15"/>
              </w:rPr>
              <w:t xml:space="preserve">0 %</w:t>
            </w:r>
          </w:p>
        </w:tc>
        <w:tc>
          <w:tcPr>
            <w:tcW w:w="1250" w:type="dxa"/>
            <w:vAlign w:val="center"/>
          </w:tcPr>
          <w:p>
            <w:pPr>
              <w:spacing w:before="20" w:after="20"/>
              <w:jc w:val="right"/>
            </w:pPr>
            <w:r>
              <w:rPr>
                <w:sz w:val="15"/>
                <w:szCs w:val="15"/>
              </w:rPr>
              <w:t xml:space="preserve">0,0</w:t>
            </w:r>
          </w:p>
        </w:tc>
        <w:tc>
          <w:tcPr>
            <w:tcW w:w="1250" w:type="dxa"/>
            <w:vAlign w:val="center"/>
          </w:tcPr>
          <w:p>
            <w:pPr>
              <w:spacing w:before="20" w:after="20"/>
              <w:jc w:val="right"/>
            </w:pPr>
            <w:r>
              <w:rPr>
                <w:sz w:val="15"/>
                <w:szCs w:val="15"/>
              </w:rPr>
              <w:t xml:space="preserve">0 %</w:t>
            </w:r>
          </w:p>
        </w:tc>
        <w:tc>
          <w:tcPr>
            <w:tcW w:w="1250" w:type="dxa"/>
            <w:vAlign w:val="center"/>
          </w:tcPr>
          <w:p>
            <w:pPr>
              <w:spacing w:before="20" w:after="20"/>
              <w:jc w:val="right"/>
            </w:pPr>
            <w:r>
              <w:rPr>
                <w:sz w:val="15"/>
                <w:szCs w:val="15"/>
              </w:rPr>
              <w:t xml:space="preserve">0 %</w:t>
            </w:r>
          </w:p>
        </w:tc>
        <w:tc>
          <w:tcPr>
            <w:tcW w:w="1100" w:type="dxa"/>
            <w:vAlign w:val="center"/>
          </w:tcPr>
          <w:p>
            <w:pPr>
              <w:spacing w:before="20" w:after="20"/>
              <w:jc w:val="right"/>
            </w:pPr>
            <w:r>
              <w:rPr>
                <w:sz w:val="15"/>
                <w:szCs w:val="15"/>
              </w:rPr>
              <w:t xml:space="preserve">2,9 %</w:t>
            </w:r>
          </w:p>
        </w:tc>
      </w:tr>
    </w:tbl>
    <w:p>
      <w:pPr>
        <w:spacing w:after="60"/>
      </w:pPr>
      <w:r>
        <w:t xml:space="preserve"/>
      </w:r>
    </w:p>
    <w:p>
      <w:pPr>
        <w:pStyle w:val="ListBullet"/>
        <w:numPr>
          <w:ilvl w:val="0"/>
          <w:numId w:val="1"/>
        </w:numPr>
      </w:pPr>
      <w:r>
        <w:rPr>
          <w:b/>
        </w:rPr>
        <w:t xml:space="preserve">Brésil : </w:t>
      </w:r>
      <w:r>
        <w:t xml:space="preserve">le seul pays qui fait à la fois les chocs (83 % des chocs de production) et le coussin (53 % des stocks des origines). C'est lui qu'il faut modéliser en premier.</w:t>
      </w:r>
    </w:p>
    <w:p>
      <w:pPr>
        <w:pStyle w:val="ListBullet"/>
        <w:numPr>
          <w:ilvl w:val="0"/>
          <w:numId w:val="1"/>
        </w:numPr>
      </w:pPr>
      <w:r>
        <w:rPr>
          <w:b/>
        </w:rPr>
        <w:t xml:space="preserve">Vietnam : </w:t>
      </w:r>
      <w:r>
        <w:t xml:space="preserve">17 % de la production mondiale et 18 % des exportations, mais moins d'une semaine d'exportations en stock (0,9). Pas de coussin : une mauvaise récolte ne peut pas être amortie par ses stocks (lien récolte vietnamienne / DF : −0,35, non significatif, car le conilon brésilien et l'Indonésie comptent autant). Deuxième acteur des variations de stocks (18 %).</w:t>
      </w:r>
    </w:p>
    <w:p>
      <w:pPr>
        <w:pStyle w:val="ListBullet"/>
        <w:numPr>
          <w:ilvl w:val="0"/>
          <w:numId w:val="1"/>
        </w:numPr>
      </w:pPr>
      <w:r>
        <w:rPr>
          <w:b/>
        </w:rPr>
        <w:t xml:space="preserve">Colombie et Indonésie : </w:t>
      </w:r>
      <w:r>
        <w:t xml:space="preserve">acteurs moyens (7,1 % et 6,0 % de la production). La récolte colombienne suivante est fortement liée au KC (r = −0,75, test exploratoire), en plus du Brésil.</w:t>
      </w:r>
    </w:p>
    <w:p>
      <w:pPr>
        <w:pStyle w:val="ListBullet"/>
        <w:numPr>
          <w:ilvl w:val="0"/>
          <w:numId w:val="1"/>
        </w:numPr>
      </w:pPr>
      <w:r>
        <w:rPr>
          <w:b/>
        </w:rPr>
        <w:t xml:space="preserve">Éthiopie : </w:t>
      </w:r>
      <w:r>
        <w:t xml:space="preserve">4e producteur (6,4 % de la production, devant l'Indonésie), mais elle consomme environ 41 % de sa récolte ; ses exportations (4,5 % du total) pèsent moins sur le prix de New York.</w:t>
      </w:r>
    </w:p>
    <w:p>
      <w:pPr>
        <w:pStyle w:val="ListBullet"/>
        <w:numPr>
          <w:ilvl w:val="0"/>
          <w:numId w:val="1"/>
        </w:numPr>
      </w:pPr>
      <w:r>
        <w:rPr>
          <w:b/>
        </w:rPr>
        <w:t xml:space="preserve">Pérou, Mexique, Guatemala : </w:t>
      </w:r>
      <w:r>
        <w:t xml:space="preserve">STU bas, ils vendent tout ce qu'ils produisent, mais leur taille est trop faible pour faire le prix mondial ; ils comptent pour les primes de leurs origines, pas pour le KC.</w:t>
      </w:r>
    </w:p>
    <w:p>
      <w:pPr>
        <w:pStyle w:val="Note"/>
      </w:pPr>
      <w:r>
        <w:t xml:space="preserve">Poids = part de la variance des variations annuelles mondiales qui vient du pays (covariance ÷ variance). Les STU de chaque pays, campagne par campagne, sont dans l'onglet 4_STU_pays de l'Excel.</w:t>
      </w:r>
    </w:p>
    <w:p>
      <w:pPr>
        <w:pStyle w:val="Heading1"/>
        <w:keepNext/>
      </w:pPr>
      <w:r>
        <w:t xml:space="preserve">9. Limites</w:t>
      </w:r>
    </w:p>
    <w:p>
      <w:pPr>
        <w:pStyle w:val="ListBullet"/>
        <w:numPr>
          <w:ilvl w:val="0"/>
          <w:numId w:val="1"/>
        </w:numPr>
      </w:pPr>
      <w:r>
        <w:t xml:space="preserve">16 campagnes (15 avec les stocks certifiés), très autocorrélées : environ 4 à 7 observations indépendantes. Le lien STU mondial / prix repose surtout sur 2023/24-2025/26.</w:t>
      </w:r>
    </w:p>
    <w:p>
      <w:pPr>
        <w:pStyle w:val="ListBullet"/>
        <w:numPr>
          <w:ilvl w:val="0"/>
          <w:numId w:val="1"/>
        </w:numPr>
      </w:pPr>
      <w:r>
        <w:t xml:space="preserve">Les stocks USDA sont en partie estimés pour tous les pays ; ceux des États-Unis sont figés à 5,7 M sacs depuis 2022/23.</w:t>
      </w:r>
    </w:p>
    <w:p>
      <w:pPr>
        <w:pStyle w:val="ListBullet"/>
        <w:numPr>
          <w:ilvl w:val="0"/>
          <w:numId w:val="1"/>
        </w:numPr>
      </w:pPr>
      <w:r>
        <w:t xml:space="preserve">Les STU arabica et robusta ne couvrent que les pays d'origine ; les stocks des pays consommateurs (plus de la moitié des stocks mondiaux) ne sont pas répartis par espèce.</w:t>
      </w:r>
    </w:p>
    <w:p>
      <w:pPr>
        <w:pStyle w:val="ListBullet"/>
        <w:numPr>
          <w:ilvl w:val="0"/>
          <w:numId w:val="1"/>
        </w:numPr>
      </w:pPr>
      <w:r>
        <w:t xml:space="preserve">Non couverts : la structure des échéances (écart KC1-KC2), les différentiels des origines livrables et le grading en attente, qui décident de l'intérêt de certifier.</w:t>
      </w:r>
    </w:p>
    <w:p>
      <w:pPr>
        <w:pStyle w:val="ListBullet"/>
        <w:numPr>
          <w:ilvl w:val="0"/>
          <w:numId w:val="1"/>
        </w:numPr>
      </w:pPr>
      <w:r>
        <w:t xml:space="preserve">Les campagnes USDA sont locales (Brésil juillet-juin) alors que les prix sont en octobre-septembre. Les certifiés sont un relevé de fin de mois : un autre mois change la force des liens.</w:t>
      </w:r>
    </w:p>
    <w:p>
      <w:pPr>
        <w:pStyle w:val="ListBullet"/>
        <w:numPr>
          <w:ilvl w:val="0"/>
          <w:numId w:val="1"/>
        </w:numPr>
      </w:pPr>
      <w:r>
        <w:t xml:space="preserve">Prix non corrigés de l'inflation ni du real brésilien, qui pèse sur le prix en dollars. Prix ICE = moyenne des 2e et 3e positions (proxy de KC1 et DF1).</w:t>
      </w:r>
    </w:p>
    <w:p>
      <w:pPr>
        <w:sectPr>
          <w:footerReference w:type="default" r:id="rIdFtr"/>
          <w:pgSz w:w="11906" w:h="16838"/>
          <w:pgMar w:top="1134" w:right="1021" w:bottom="1134" w:left="1021" w:header="567" w:footer="567" w:gutter="0"/>
          <w:cols w:space="708"/>
        </w:sectPr>
      </w:pPr>
    </w:p>
    <w:p>
      <w:pPr>
        <w:pStyle w:val="Heading1"/>
        <w:keepNext/>
      </w:pPr>
      <w:r>
        <w:t xml:space="preserve">Annexe — STU de chaque pays d'origine, campagne par campagne</w:t>
      </w:r>
    </w:p>
    <w:p>
      <w:r>
        <w:t xml:space="preserve">Stocks de fin ÷ (consommation domestique + exportations), USDA. Les 42 pays d'origine sont dans l'Excel ; ici les 20 plus gros producteurs.</w:t>
      </w:r>
    </w:p>
    <w:tbl>
      <w:tblPr>
        <w:tblStyle w:val="Grille"/>
        <w:tblW w:w="146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70" w:type="dxa"/>
          <w:right w:w="70" w:type="dxa"/>
        </w:tblCellMar>
      </w:tblPr>
      <w:tblGrid>
        <w:gridCol w:w="1700"/>
        <w:gridCol w:w="760"/>
        <w:gridCol w:w="760"/>
        <w:gridCol w:w="760"/>
        <w:gridCol w:w="760"/>
        <w:gridCol w:w="760"/>
        <w:gridCol w:w="760"/>
        <w:gridCol w:w="760"/>
        <w:gridCol w:w="760"/>
        <w:gridCol w:w="760"/>
        <w:gridCol w:w="760"/>
        <w:gridCol w:w="760"/>
        <w:gridCol w:w="760"/>
        <w:gridCol w:w="760"/>
        <w:gridCol w:w="760"/>
        <w:gridCol w:w="760"/>
        <w:gridCol w:w="760"/>
        <w:gridCol w:w="760"/>
      </w:tblGrid>
      <w:tr>
        <w:trPr>
          <w:tblHeader/>
        </w:trPr>
        <w:tc>
          <w:tcPr>
            <w:tcW w:w="1700" w:type="dxa"/>
            <w:shd w:val="clear" w:color="auto" w:fill="1F3864"/>
            <w:vAlign w:val="center"/>
          </w:tcPr>
          <w:p>
            <w:pPr>
              <w:spacing w:before="20" w:after="20"/>
              <w:jc w:val="center"/>
            </w:pPr>
            <w:r>
              <w:rPr>
                <w:b/>
                <w:color w:val="FFFFFF"/>
                <w:sz w:val="14"/>
                <w:szCs w:val="14"/>
              </w:rPr>
              <w:t xml:space="preserve">Pays</w:t>
            </w:r>
          </w:p>
        </w:tc>
        <w:tc>
          <w:tcPr>
            <w:tcW w:w="760" w:type="dxa"/>
            <w:shd w:val="clear" w:color="auto" w:fill="1F3864"/>
            <w:vAlign w:val="center"/>
          </w:tcPr>
          <w:p>
            <w:pPr>
              <w:spacing w:before="20" w:after="20"/>
              <w:jc w:val="center"/>
            </w:pPr>
            <w:r>
              <w:rPr>
                <w:b/>
                <w:color w:val="FFFFFF"/>
                <w:sz w:val="14"/>
                <w:szCs w:val="14"/>
              </w:rPr>
              <w:t xml:space="preserve">10/11</w:t>
            </w:r>
          </w:p>
        </w:tc>
        <w:tc>
          <w:tcPr>
            <w:tcW w:w="760" w:type="dxa"/>
            <w:shd w:val="clear" w:color="auto" w:fill="1F3864"/>
            <w:vAlign w:val="center"/>
          </w:tcPr>
          <w:p>
            <w:pPr>
              <w:spacing w:before="20" w:after="20"/>
              <w:jc w:val="center"/>
            </w:pPr>
            <w:r>
              <w:rPr>
                <w:b/>
                <w:color w:val="FFFFFF"/>
                <w:sz w:val="14"/>
                <w:szCs w:val="14"/>
              </w:rPr>
              <w:t xml:space="preserve">11/12</w:t>
            </w:r>
          </w:p>
        </w:tc>
        <w:tc>
          <w:tcPr>
            <w:tcW w:w="760" w:type="dxa"/>
            <w:shd w:val="clear" w:color="auto" w:fill="1F3864"/>
            <w:vAlign w:val="center"/>
          </w:tcPr>
          <w:p>
            <w:pPr>
              <w:spacing w:before="20" w:after="20"/>
              <w:jc w:val="center"/>
            </w:pPr>
            <w:r>
              <w:rPr>
                <w:b/>
                <w:color w:val="FFFFFF"/>
                <w:sz w:val="14"/>
                <w:szCs w:val="14"/>
              </w:rPr>
              <w:t xml:space="preserve">12/13</w:t>
            </w:r>
          </w:p>
        </w:tc>
        <w:tc>
          <w:tcPr>
            <w:tcW w:w="760" w:type="dxa"/>
            <w:shd w:val="clear" w:color="auto" w:fill="1F3864"/>
            <w:vAlign w:val="center"/>
          </w:tcPr>
          <w:p>
            <w:pPr>
              <w:spacing w:before="20" w:after="20"/>
              <w:jc w:val="center"/>
            </w:pPr>
            <w:r>
              <w:rPr>
                <w:b/>
                <w:color w:val="FFFFFF"/>
                <w:sz w:val="14"/>
                <w:szCs w:val="14"/>
              </w:rPr>
              <w:t xml:space="preserve">13/14</w:t>
            </w:r>
          </w:p>
        </w:tc>
        <w:tc>
          <w:tcPr>
            <w:tcW w:w="760" w:type="dxa"/>
            <w:shd w:val="clear" w:color="auto" w:fill="1F3864"/>
            <w:vAlign w:val="center"/>
          </w:tcPr>
          <w:p>
            <w:pPr>
              <w:spacing w:before="20" w:after="20"/>
              <w:jc w:val="center"/>
            </w:pPr>
            <w:r>
              <w:rPr>
                <w:b/>
                <w:color w:val="FFFFFF"/>
                <w:sz w:val="14"/>
                <w:szCs w:val="14"/>
              </w:rPr>
              <w:t xml:space="preserve">14/15</w:t>
            </w:r>
          </w:p>
        </w:tc>
        <w:tc>
          <w:tcPr>
            <w:tcW w:w="760" w:type="dxa"/>
            <w:shd w:val="clear" w:color="auto" w:fill="1F3864"/>
            <w:vAlign w:val="center"/>
          </w:tcPr>
          <w:p>
            <w:pPr>
              <w:spacing w:before="20" w:after="20"/>
              <w:jc w:val="center"/>
            </w:pPr>
            <w:r>
              <w:rPr>
                <w:b/>
                <w:color w:val="FFFFFF"/>
                <w:sz w:val="14"/>
                <w:szCs w:val="14"/>
              </w:rPr>
              <w:t xml:space="preserve">15/16</w:t>
            </w:r>
          </w:p>
        </w:tc>
        <w:tc>
          <w:tcPr>
            <w:tcW w:w="760" w:type="dxa"/>
            <w:shd w:val="clear" w:color="auto" w:fill="1F3864"/>
            <w:vAlign w:val="center"/>
          </w:tcPr>
          <w:p>
            <w:pPr>
              <w:spacing w:before="20" w:after="20"/>
              <w:jc w:val="center"/>
            </w:pPr>
            <w:r>
              <w:rPr>
                <w:b/>
                <w:color w:val="FFFFFF"/>
                <w:sz w:val="14"/>
                <w:szCs w:val="14"/>
              </w:rPr>
              <w:t xml:space="preserve">16/17</w:t>
            </w:r>
          </w:p>
        </w:tc>
        <w:tc>
          <w:tcPr>
            <w:tcW w:w="760" w:type="dxa"/>
            <w:shd w:val="clear" w:color="auto" w:fill="1F3864"/>
            <w:vAlign w:val="center"/>
          </w:tcPr>
          <w:p>
            <w:pPr>
              <w:spacing w:before="20" w:after="20"/>
              <w:jc w:val="center"/>
            </w:pPr>
            <w:r>
              <w:rPr>
                <w:b/>
                <w:color w:val="FFFFFF"/>
                <w:sz w:val="14"/>
                <w:szCs w:val="14"/>
              </w:rPr>
              <w:t xml:space="preserve">17/18</w:t>
            </w:r>
          </w:p>
        </w:tc>
        <w:tc>
          <w:tcPr>
            <w:tcW w:w="760" w:type="dxa"/>
            <w:shd w:val="clear" w:color="auto" w:fill="1F3864"/>
            <w:vAlign w:val="center"/>
          </w:tcPr>
          <w:p>
            <w:pPr>
              <w:spacing w:before="20" w:after="20"/>
              <w:jc w:val="center"/>
            </w:pPr>
            <w:r>
              <w:rPr>
                <w:b/>
                <w:color w:val="FFFFFF"/>
                <w:sz w:val="14"/>
                <w:szCs w:val="14"/>
              </w:rPr>
              <w:t xml:space="preserve">18/19</w:t>
            </w:r>
          </w:p>
        </w:tc>
        <w:tc>
          <w:tcPr>
            <w:tcW w:w="760" w:type="dxa"/>
            <w:shd w:val="clear" w:color="auto" w:fill="1F3864"/>
            <w:vAlign w:val="center"/>
          </w:tcPr>
          <w:p>
            <w:pPr>
              <w:spacing w:before="20" w:after="20"/>
              <w:jc w:val="center"/>
            </w:pPr>
            <w:r>
              <w:rPr>
                <w:b/>
                <w:color w:val="FFFFFF"/>
                <w:sz w:val="14"/>
                <w:szCs w:val="14"/>
              </w:rPr>
              <w:t xml:space="preserve">19/20</w:t>
            </w:r>
          </w:p>
        </w:tc>
        <w:tc>
          <w:tcPr>
            <w:tcW w:w="760" w:type="dxa"/>
            <w:shd w:val="clear" w:color="auto" w:fill="1F3864"/>
            <w:vAlign w:val="center"/>
          </w:tcPr>
          <w:p>
            <w:pPr>
              <w:spacing w:before="20" w:after="20"/>
              <w:jc w:val="center"/>
            </w:pPr>
            <w:r>
              <w:rPr>
                <w:b/>
                <w:color w:val="FFFFFF"/>
                <w:sz w:val="14"/>
                <w:szCs w:val="14"/>
              </w:rPr>
              <w:t xml:space="preserve">20/21</w:t>
            </w:r>
          </w:p>
        </w:tc>
        <w:tc>
          <w:tcPr>
            <w:tcW w:w="760" w:type="dxa"/>
            <w:shd w:val="clear" w:color="auto" w:fill="1F3864"/>
            <w:vAlign w:val="center"/>
          </w:tcPr>
          <w:p>
            <w:pPr>
              <w:spacing w:before="20" w:after="20"/>
              <w:jc w:val="center"/>
            </w:pPr>
            <w:r>
              <w:rPr>
                <w:b/>
                <w:color w:val="FFFFFF"/>
                <w:sz w:val="14"/>
                <w:szCs w:val="14"/>
              </w:rPr>
              <w:t xml:space="preserve">21/22</w:t>
            </w:r>
          </w:p>
        </w:tc>
        <w:tc>
          <w:tcPr>
            <w:tcW w:w="760" w:type="dxa"/>
            <w:shd w:val="clear" w:color="auto" w:fill="1F3864"/>
            <w:vAlign w:val="center"/>
          </w:tcPr>
          <w:p>
            <w:pPr>
              <w:spacing w:before="20" w:after="20"/>
              <w:jc w:val="center"/>
            </w:pPr>
            <w:r>
              <w:rPr>
                <w:b/>
                <w:color w:val="FFFFFF"/>
                <w:sz w:val="14"/>
                <w:szCs w:val="14"/>
              </w:rPr>
              <w:t xml:space="preserve">22/23</w:t>
            </w:r>
          </w:p>
        </w:tc>
        <w:tc>
          <w:tcPr>
            <w:tcW w:w="760" w:type="dxa"/>
            <w:shd w:val="clear" w:color="auto" w:fill="1F3864"/>
            <w:vAlign w:val="center"/>
          </w:tcPr>
          <w:p>
            <w:pPr>
              <w:spacing w:before="20" w:after="20"/>
              <w:jc w:val="center"/>
            </w:pPr>
            <w:r>
              <w:rPr>
                <w:b/>
                <w:color w:val="FFFFFF"/>
                <w:sz w:val="14"/>
                <w:szCs w:val="14"/>
              </w:rPr>
              <w:t xml:space="preserve">23/24</w:t>
            </w:r>
          </w:p>
        </w:tc>
        <w:tc>
          <w:tcPr>
            <w:tcW w:w="760" w:type="dxa"/>
            <w:shd w:val="clear" w:color="auto" w:fill="1F3864"/>
            <w:vAlign w:val="center"/>
          </w:tcPr>
          <w:p>
            <w:pPr>
              <w:spacing w:before="20" w:after="20"/>
              <w:jc w:val="center"/>
            </w:pPr>
            <w:r>
              <w:rPr>
                <w:b/>
                <w:color w:val="FFFFFF"/>
                <w:sz w:val="14"/>
                <w:szCs w:val="14"/>
              </w:rPr>
              <w:t xml:space="preserve">24/25</w:t>
            </w:r>
          </w:p>
        </w:tc>
        <w:tc>
          <w:tcPr>
            <w:tcW w:w="760" w:type="dxa"/>
            <w:shd w:val="clear" w:color="auto" w:fill="1F3864"/>
            <w:vAlign w:val="center"/>
          </w:tcPr>
          <w:p>
            <w:pPr>
              <w:spacing w:before="20" w:after="20"/>
              <w:jc w:val="center"/>
            </w:pPr>
            <w:r>
              <w:rPr>
                <w:b/>
                <w:color w:val="FFFFFF"/>
                <w:sz w:val="14"/>
                <w:szCs w:val="14"/>
              </w:rPr>
              <w:t xml:space="preserve">25/26</w:t>
            </w:r>
          </w:p>
        </w:tc>
        <w:tc>
          <w:tcPr>
            <w:tcW w:w="760" w:type="dxa"/>
            <w:shd w:val="clear" w:color="auto" w:fill="1F3864"/>
            <w:vAlign w:val="center"/>
          </w:tcPr>
          <w:p>
            <w:pPr>
              <w:spacing w:before="20" w:after="20"/>
              <w:jc w:val="center"/>
            </w:pPr>
            <w:r>
              <w:rPr>
                <w:b/>
                <w:color w:val="FFFFFF"/>
                <w:sz w:val="14"/>
                <w:szCs w:val="14"/>
              </w:rPr>
              <w:t xml:space="preserve">26/27 p</w:t>
            </w:r>
          </w:p>
        </w:tc>
      </w:tr>
      <w:tr>
        <w:trPr>
          <w:cantSplit/>
        </w:trPr>
        <w:tc>
          <w:tcPr>
            <w:tcW w:w="1700" w:type="dxa"/>
            <w:vAlign w:val="center"/>
          </w:tcPr>
          <w:p>
            <w:pPr>
              <w:spacing w:before="20" w:after="20"/>
              <w:jc w:val="left"/>
            </w:pPr>
            <w:r>
              <w:rPr>
                <w:b/>
                <w:sz w:val="14"/>
                <w:szCs w:val="14"/>
              </w:rPr>
              <w:t xml:space="preserve">Brésil</w:t>
            </w:r>
          </w:p>
        </w:tc>
        <w:tc>
          <w:tcPr>
            <w:tcW w:w="760" w:type="dxa"/>
            <w:vAlign w:val="center"/>
          </w:tcPr>
          <w:p>
            <w:pPr>
              <w:spacing w:before="20" w:after="20"/>
              <w:jc w:val="right"/>
            </w:pPr>
            <w:r>
              <w:rPr>
                <w:sz w:val="14"/>
                <w:szCs w:val="14"/>
              </w:rPr>
              <w:t xml:space="preserve">5,3</w:t>
            </w:r>
          </w:p>
        </w:tc>
        <w:tc>
          <w:tcPr>
            <w:tcW w:w="760" w:type="dxa"/>
            <w:vAlign w:val="center"/>
          </w:tcPr>
          <w:p>
            <w:pPr>
              <w:spacing w:before="20" w:after="20"/>
              <w:jc w:val="right"/>
            </w:pPr>
            <w:r>
              <w:rPr>
                <w:sz w:val="14"/>
                <w:szCs w:val="14"/>
              </w:rPr>
              <w:t xml:space="preserve">4,5</w:t>
            </w:r>
          </w:p>
        </w:tc>
        <w:tc>
          <w:tcPr>
            <w:tcW w:w="760" w:type="dxa"/>
            <w:vAlign w:val="center"/>
          </w:tcPr>
          <w:p>
            <w:pPr>
              <w:spacing w:before="20" w:after="20"/>
              <w:jc w:val="right"/>
            </w:pPr>
            <w:r>
              <w:rPr>
                <w:sz w:val="14"/>
                <w:szCs w:val="14"/>
              </w:rPr>
              <w:t xml:space="preserve">17,9</w:t>
            </w:r>
          </w:p>
        </w:tc>
        <w:tc>
          <w:tcPr>
            <w:tcW w:w="760" w:type="dxa"/>
            <w:vAlign w:val="center"/>
          </w:tcPr>
          <w:p>
            <w:pPr>
              <w:spacing w:before="20" w:after="20"/>
              <w:jc w:val="right"/>
            </w:pPr>
            <w:r>
              <w:rPr>
                <w:sz w:val="14"/>
                <w:szCs w:val="14"/>
              </w:rPr>
              <w:t xml:space="preserve">22,0</w:t>
            </w:r>
          </w:p>
        </w:tc>
        <w:tc>
          <w:tcPr>
            <w:tcW w:w="760" w:type="dxa"/>
            <w:vAlign w:val="center"/>
          </w:tcPr>
          <w:p>
            <w:pPr>
              <w:spacing w:before="20" w:after="20"/>
              <w:jc w:val="right"/>
            </w:pPr>
            <w:r>
              <w:rPr>
                <w:sz w:val="14"/>
                <w:szCs w:val="14"/>
              </w:rPr>
              <w:t xml:space="preserve">16,3</w:t>
            </w:r>
          </w:p>
        </w:tc>
        <w:tc>
          <w:tcPr>
            <w:tcW w:w="760" w:type="dxa"/>
            <w:vAlign w:val="center"/>
          </w:tcPr>
          <w:p>
            <w:pPr>
              <w:spacing w:before="20" w:after="20"/>
              <w:jc w:val="right"/>
            </w:pPr>
            <w:r>
              <w:rPr>
                <w:sz w:val="14"/>
                <w:szCs w:val="14"/>
              </w:rPr>
              <w:t xml:space="preserve">4,2</w:t>
            </w:r>
          </w:p>
        </w:tc>
        <w:tc>
          <w:tcPr>
            <w:tcW w:w="760" w:type="dxa"/>
            <w:vAlign w:val="center"/>
          </w:tcPr>
          <w:p>
            <w:pPr>
              <w:spacing w:before="20" w:after="20"/>
              <w:jc w:val="right"/>
            </w:pPr>
            <w:r>
              <w:rPr>
                <w:sz w:val="14"/>
                <w:szCs w:val="14"/>
              </w:rPr>
              <w:t xml:space="preserve">7,0</w:t>
            </w:r>
          </w:p>
        </w:tc>
        <w:tc>
          <w:tcPr>
            <w:tcW w:w="760" w:type="dxa"/>
            <w:vAlign w:val="center"/>
          </w:tcPr>
          <w:p>
            <w:pPr>
              <w:spacing w:before="20" w:after="20"/>
              <w:jc w:val="right"/>
            </w:pPr>
            <w:r>
              <w:rPr>
                <w:sz w:val="14"/>
                <w:szCs w:val="14"/>
              </w:rPr>
              <w:t xml:space="preserve">5,9</w:t>
            </w:r>
          </w:p>
        </w:tc>
        <w:tc>
          <w:tcPr>
            <w:tcW w:w="760" w:type="dxa"/>
            <w:vAlign w:val="center"/>
          </w:tcPr>
          <w:p>
            <w:pPr>
              <w:spacing w:before="20" w:after="20"/>
              <w:jc w:val="right"/>
            </w:pPr>
            <w:r>
              <w:rPr>
                <w:sz w:val="14"/>
                <w:szCs w:val="14"/>
              </w:rPr>
              <w:t xml:space="preserve">7,8</w:t>
            </w:r>
          </w:p>
        </w:tc>
        <w:tc>
          <w:tcPr>
            <w:tcW w:w="760" w:type="dxa"/>
            <w:vAlign w:val="center"/>
          </w:tcPr>
          <w:p>
            <w:pPr>
              <w:spacing w:before="20" w:after="20"/>
              <w:jc w:val="right"/>
            </w:pPr>
            <w:r>
              <w:rPr>
                <w:sz w:val="14"/>
                <w:szCs w:val="14"/>
              </w:rPr>
              <w:t xml:space="preserve">3,8</w:t>
            </w:r>
          </w:p>
        </w:tc>
        <w:tc>
          <w:tcPr>
            <w:tcW w:w="760" w:type="dxa"/>
            <w:vAlign w:val="center"/>
          </w:tcPr>
          <w:p>
            <w:pPr>
              <w:spacing w:before="20" w:after="20"/>
              <w:jc w:val="right"/>
            </w:pPr>
            <w:r>
              <w:rPr>
                <w:sz w:val="14"/>
                <w:szCs w:val="14"/>
              </w:rPr>
              <w:t xml:space="preserve">6,5</w:t>
            </w:r>
          </w:p>
        </w:tc>
        <w:tc>
          <w:tcPr>
            <w:tcW w:w="760" w:type="dxa"/>
            <w:vAlign w:val="center"/>
          </w:tcPr>
          <w:p>
            <w:pPr>
              <w:spacing w:before="20" w:after="20"/>
              <w:jc w:val="right"/>
            </w:pPr>
            <w:r>
              <w:rPr>
                <w:sz w:val="14"/>
                <w:szCs w:val="14"/>
              </w:rPr>
              <w:t xml:space="preserve">0,9</w:t>
            </w:r>
          </w:p>
        </w:tc>
        <w:tc>
          <w:tcPr>
            <w:tcW w:w="760" w:type="dxa"/>
            <w:vAlign w:val="center"/>
          </w:tcPr>
          <w:p>
            <w:pPr>
              <w:spacing w:before="20" w:after="20"/>
              <w:jc w:val="right"/>
            </w:pPr>
            <w:r>
              <w:rPr>
                <w:sz w:val="14"/>
                <w:szCs w:val="14"/>
              </w:rPr>
              <w:t xml:space="preserve">7,9</w:t>
            </w:r>
          </w:p>
        </w:tc>
        <w:tc>
          <w:tcPr>
            <w:tcW w:w="760" w:type="dxa"/>
            <w:vAlign w:val="center"/>
          </w:tcPr>
          <w:p>
            <w:pPr>
              <w:spacing w:before="20" w:after="20"/>
              <w:jc w:val="right"/>
            </w:pPr>
            <w:r>
              <w:rPr>
                <w:sz w:val="14"/>
                <w:szCs w:val="14"/>
              </w:rPr>
              <w:t xml:space="preserve">3,0</w:t>
            </w:r>
          </w:p>
        </w:tc>
        <w:tc>
          <w:tcPr>
            <w:tcW w:w="760" w:type="dxa"/>
            <w:vAlign w:val="center"/>
          </w:tcPr>
          <w:p>
            <w:pPr>
              <w:spacing w:before="20" w:after="20"/>
              <w:jc w:val="right"/>
            </w:pPr>
            <w:r>
              <w:rPr>
                <w:sz w:val="14"/>
                <w:szCs w:val="14"/>
              </w:rPr>
              <w:t xml:space="preserve">1,4</w:t>
            </w:r>
          </w:p>
        </w:tc>
        <w:tc>
          <w:tcPr>
            <w:tcW w:w="760" w:type="dxa"/>
            <w:vAlign w:val="center"/>
          </w:tcPr>
          <w:p>
            <w:pPr>
              <w:spacing w:before="20" w:after="20"/>
              <w:jc w:val="right"/>
            </w:pPr>
            <w:r>
              <w:rPr>
                <w:sz w:val="14"/>
                <w:szCs w:val="14"/>
              </w:rPr>
              <w:t xml:space="preserve">6,5</w:t>
            </w:r>
          </w:p>
        </w:tc>
        <w:tc>
          <w:tcPr>
            <w:tcW w:w="760" w:type="dxa"/>
            <w:vAlign w:val="center"/>
          </w:tcPr>
          <w:p>
            <w:pPr>
              <w:spacing w:before="20" w:after="20"/>
              <w:jc w:val="right"/>
            </w:pPr>
            <w:r>
              <w:rPr>
                <w:sz w:val="14"/>
                <w:szCs w:val="14"/>
              </w:rPr>
              <w:t xml:space="preserve">6,2</w:t>
            </w:r>
          </w:p>
        </w:tc>
      </w:tr>
      <w:tr>
        <w:trPr>
          <w:cantSplit/>
        </w:trPr>
        <w:tc>
          <w:tcPr>
            <w:tcW w:w="1700" w:type="dxa"/>
            <w:shd w:val="clear" w:color="auto" w:fill="F2F4F7"/>
            <w:vAlign w:val="center"/>
          </w:tcPr>
          <w:p>
            <w:pPr>
              <w:spacing w:before="20" w:after="20"/>
              <w:jc w:val="left"/>
            </w:pPr>
            <w:r>
              <w:rPr>
                <w:b/>
                <w:sz w:val="14"/>
                <w:szCs w:val="14"/>
              </w:rPr>
              <w:t xml:space="preserve">Vietnam</w:t>
            </w:r>
          </w:p>
        </w:tc>
        <w:tc>
          <w:tcPr>
            <w:tcW w:w="760" w:type="dxa"/>
            <w:shd w:val="clear" w:color="auto" w:fill="F2F4F7"/>
            <w:vAlign w:val="center"/>
          </w:tcPr>
          <w:p>
            <w:pPr>
              <w:spacing w:before="20" w:after="20"/>
              <w:jc w:val="right"/>
            </w:pPr>
            <w:r>
              <w:rPr>
                <w:sz w:val="14"/>
                <w:szCs w:val="14"/>
              </w:rPr>
              <w:t xml:space="preserve">4,0</w:t>
            </w:r>
          </w:p>
        </w:tc>
        <w:tc>
          <w:tcPr>
            <w:tcW w:w="760" w:type="dxa"/>
            <w:shd w:val="clear" w:color="auto" w:fill="F2F4F7"/>
            <w:vAlign w:val="center"/>
          </w:tcPr>
          <w:p>
            <w:pPr>
              <w:spacing w:before="20" w:after="20"/>
              <w:jc w:val="right"/>
            </w:pPr>
            <w:r>
              <w:rPr>
                <w:sz w:val="14"/>
                <w:szCs w:val="14"/>
              </w:rPr>
              <w:t xml:space="preserve">4,2</w:t>
            </w:r>
          </w:p>
        </w:tc>
        <w:tc>
          <w:tcPr>
            <w:tcW w:w="760" w:type="dxa"/>
            <w:shd w:val="clear" w:color="auto" w:fill="F2F4F7"/>
            <w:vAlign w:val="center"/>
          </w:tcPr>
          <w:p>
            <w:pPr>
              <w:spacing w:before="20" w:after="20"/>
              <w:jc w:val="right"/>
            </w:pPr>
            <w:r>
              <w:rPr>
                <w:sz w:val="14"/>
                <w:szCs w:val="14"/>
              </w:rPr>
              <w:t xml:space="preserve">7,4</w:t>
            </w:r>
          </w:p>
        </w:tc>
        <w:tc>
          <w:tcPr>
            <w:tcW w:w="760" w:type="dxa"/>
            <w:shd w:val="clear" w:color="auto" w:fill="F2F4F7"/>
            <w:vAlign w:val="center"/>
          </w:tcPr>
          <w:p>
            <w:pPr>
              <w:spacing w:before="20" w:after="20"/>
              <w:jc w:val="right"/>
            </w:pPr>
            <w:r>
              <w:rPr>
                <w:sz w:val="14"/>
                <w:szCs w:val="14"/>
              </w:rPr>
              <w:t xml:space="preserve">7,0</w:t>
            </w:r>
          </w:p>
        </w:tc>
        <w:tc>
          <w:tcPr>
            <w:tcW w:w="760" w:type="dxa"/>
            <w:shd w:val="clear" w:color="auto" w:fill="F2F4F7"/>
            <w:vAlign w:val="center"/>
          </w:tcPr>
          <w:p>
            <w:pPr>
              <w:spacing w:before="20" w:after="20"/>
              <w:jc w:val="right"/>
            </w:pPr>
            <w:r>
              <w:rPr>
                <w:sz w:val="14"/>
                <w:szCs w:val="14"/>
              </w:rPr>
              <w:t xml:space="preserve">26,6</w:t>
            </w:r>
          </w:p>
        </w:tc>
        <w:tc>
          <w:tcPr>
            <w:tcW w:w="760" w:type="dxa"/>
            <w:shd w:val="clear" w:color="auto" w:fill="F2F4F7"/>
            <w:vAlign w:val="center"/>
          </w:tcPr>
          <w:p>
            <w:pPr>
              <w:spacing w:before="20" w:after="20"/>
              <w:jc w:val="right"/>
            </w:pPr>
            <w:r>
              <w:rPr>
                <w:sz w:val="14"/>
                <w:szCs w:val="14"/>
              </w:rPr>
              <w:t xml:space="preserve">13,3</w:t>
            </w:r>
          </w:p>
        </w:tc>
        <w:tc>
          <w:tcPr>
            <w:tcW w:w="760" w:type="dxa"/>
            <w:shd w:val="clear" w:color="auto" w:fill="F2F4F7"/>
            <w:vAlign w:val="center"/>
          </w:tcPr>
          <w:p>
            <w:pPr>
              <w:spacing w:before="20" w:after="20"/>
              <w:jc w:val="right"/>
            </w:pPr>
            <w:r>
              <w:rPr>
                <w:sz w:val="14"/>
                <w:szCs w:val="14"/>
              </w:rPr>
              <w:t xml:space="preserve">9,2</w:t>
            </w:r>
          </w:p>
        </w:tc>
        <w:tc>
          <w:tcPr>
            <w:tcW w:w="760" w:type="dxa"/>
            <w:shd w:val="clear" w:color="auto" w:fill="F2F4F7"/>
            <w:vAlign w:val="center"/>
          </w:tcPr>
          <w:p>
            <w:pPr>
              <w:spacing w:before="20" w:after="20"/>
              <w:jc w:val="right"/>
            </w:pPr>
            <w:r>
              <w:rPr>
                <w:sz w:val="14"/>
                <w:szCs w:val="14"/>
              </w:rPr>
              <w:t xml:space="preserve">0,8</w:t>
            </w:r>
          </w:p>
        </w:tc>
        <w:tc>
          <w:tcPr>
            <w:tcW w:w="760" w:type="dxa"/>
            <w:shd w:val="clear" w:color="auto" w:fill="F2F4F7"/>
            <w:vAlign w:val="center"/>
          </w:tcPr>
          <w:p>
            <w:pPr>
              <w:spacing w:before="20" w:after="20"/>
              <w:jc w:val="right"/>
            </w:pPr>
            <w:r>
              <w:rPr>
                <w:sz w:val="14"/>
                <w:szCs w:val="14"/>
              </w:rPr>
              <w:t xml:space="preserve">1,8</w:t>
            </w:r>
          </w:p>
        </w:tc>
        <w:tc>
          <w:tcPr>
            <w:tcW w:w="760" w:type="dxa"/>
            <w:shd w:val="clear" w:color="auto" w:fill="F2F4F7"/>
            <w:vAlign w:val="center"/>
          </w:tcPr>
          <w:p>
            <w:pPr>
              <w:spacing w:before="20" w:after="20"/>
              <w:jc w:val="right"/>
            </w:pPr>
            <w:r>
              <w:rPr>
                <w:sz w:val="14"/>
                <w:szCs w:val="14"/>
              </w:rPr>
              <w:t xml:space="preserve">7,0</w:t>
            </w:r>
          </w:p>
        </w:tc>
        <w:tc>
          <w:tcPr>
            <w:tcW w:w="760" w:type="dxa"/>
            <w:shd w:val="clear" w:color="auto" w:fill="F2F4F7"/>
            <w:vAlign w:val="center"/>
          </w:tcPr>
          <w:p>
            <w:pPr>
              <w:spacing w:before="20" w:after="20"/>
              <w:jc w:val="right"/>
            </w:pPr>
            <w:r>
              <w:rPr>
                <w:sz w:val="14"/>
                <w:szCs w:val="14"/>
              </w:rPr>
              <w:t xml:space="preserve">13,1</w:t>
            </w:r>
          </w:p>
        </w:tc>
        <w:tc>
          <w:tcPr>
            <w:tcW w:w="760" w:type="dxa"/>
            <w:shd w:val="clear" w:color="auto" w:fill="F2F4F7"/>
            <w:vAlign w:val="center"/>
          </w:tcPr>
          <w:p>
            <w:pPr>
              <w:spacing w:before="20" w:after="20"/>
              <w:jc w:val="right"/>
            </w:pPr>
            <w:r>
              <w:rPr>
                <w:sz w:val="14"/>
                <w:szCs w:val="14"/>
              </w:rPr>
              <w:t xml:space="preserve">11,1</w:t>
            </w:r>
          </w:p>
        </w:tc>
        <w:tc>
          <w:tcPr>
            <w:tcW w:w="760" w:type="dxa"/>
            <w:shd w:val="clear" w:color="auto" w:fill="F2F4F7"/>
            <w:vAlign w:val="center"/>
          </w:tcPr>
          <w:p>
            <w:pPr>
              <w:spacing w:before="20" w:after="20"/>
              <w:jc w:val="right"/>
            </w:pPr>
            <w:r>
              <w:rPr>
                <w:sz w:val="14"/>
                <w:szCs w:val="14"/>
              </w:rPr>
              <w:t xml:space="preserve">2,7</w:t>
            </w:r>
          </w:p>
        </w:tc>
        <w:tc>
          <w:tcPr>
            <w:tcW w:w="760" w:type="dxa"/>
            <w:shd w:val="clear" w:color="auto" w:fill="F2F4F7"/>
            <w:vAlign w:val="center"/>
          </w:tcPr>
          <w:p>
            <w:pPr>
              <w:spacing w:before="20" w:after="20"/>
              <w:jc w:val="right"/>
            </w:pPr>
            <w:r>
              <w:rPr>
                <w:sz w:val="14"/>
                <w:szCs w:val="14"/>
              </w:rPr>
              <w:t xml:space="preserve">3,1</w:t>
            </w:r>
          </w:p>
        </w:tc>
        <w:tc>
          <w:tcPr>
            <w:tcW w:w="760" w:type="dxa"/>
            <w:shd w:val="clear" w:color="auto" w:fill="F2F4F7"/>
            <w:vAlign w:val="center"/>
          </w:tcPr>
          <w:p>
            <w:pPr>
              <w:spacing w:before="20" w:after="20"/>
              <w:jc w:val="right"/>
            </w:pPr>
            <w:r>
              <w:rPr>
                <w:sz w:val="14"/>
                <w:szCs w:val="14"/>
              </w:rPr>
              <w:t xml:space="preserve">3,6</w:t>
            </w:r>
          </w:p>
        </w:tc>
        <w:tc>
          <w:tcPr>
            <w:tcW w:w="760" w:type="dxa"/>
            <w:shd w:val="clear" w:color="auto" w:fill="F2F4F7"/>
            <w:vAlign w:val="center"/>
          </w:tcPr>
          <w:p>
            <w:pPr>
              <w:spacing w:before="20" w:after="20"/>
              <w:jc w:val="right"/>
            </w:pPr>
            <w:r>
              <w:rPr>
                <w:sz w:val="14"/>
                <w:szCs w:val="14"/>
              </w:rPr>
              <w:t xml:space="preserve">2,1</w:t>
            </w:r>
          </w:p>
        </w:tc>
        <w:tc>
          <w:tcPr>
            <w:tcW w:w="760" w:type="dxa"/>
            <w:shd w:val="clear" w:color="auto" w:fill="F2F4F7"/>
            <w:vAlign w:val="center"/>
          </w:tcPr>
          <w:p>
            <w:pPr>
              <w:spacing w:before="20" w:after="20"/>
              <w:jc w:val="right"/>
            </w:pPr>
            <w:r>
              <w:rPr>
                <w:sz w:val="14"/>
                <w:szCs w:val="14"/>
              </w:rPr>
              <w:t xml:space="preserve">1,4</w:t>
            </w:r>
          </w:p>
        </w:tc>
      </w:tr>
      <w:tr>
        <w:trPr>
          <w:cantSplit/>
        </w:trPr>
        <w:tc>
          <w:tcPr>
            <w:tcW w:w="1700" w:type="dxa"/>
            <w:vAlign w:val="center"/>
          </w:tcPr>
          <w:p>
            <w:pPr>
              <w:spacing w:before="20" w:after="20"/>
              <w:jc w:val="left"/>
            </w:pPr>
            <w:r>
              <w:rPr>
                <w:b/>
                <w:sz w:val="14"/>
                <w:szCs w:val="14"/>
              </w:rPr>
              <w:t xml:space="preserve">Colombie</w:t>
            </w:r>
          </w:p>
        </w:tc>
        <w:tc>
          <w:tcPr>
            <w:tcW w:w="760" w:type="dxa"/>
            <w:vAlign w:val="center"/>
          </w:tcPr>
          <w:p>
            <w:pPr>
              <w:spacing w:before="20" w:after="20"/>
              <w:jc w:val="right"/>
            </w:pPr>
            <w:r>
              <w:rPr>
                <w:sz w:val="14"/>
                <w:szCs w:val="14"/>
              </w:rPr>
              <w:t xml:space="preserve">1,0</w:t>
            </w:r>
          </w:p>
        </w:tc>
        <w:tc>
          <w:tcPr>
            <w:tcW w:w="760" w:type="dxa"/>
            <w:vAlign w:val="center"/>
          </w:tcPr>
          <w:p>
            <w:pPr>
              <w:spacing w:before="20" w:after="20"/>
              <w:jc w:val="right"/>
            </w:pPr>
            <w:r>
              <w:rPr>
                <w:sz w:val="14"/>
                <w:szCs w:val="14"/>
              </w:rPr>
              <w:t xml:space="preserve">2,9</w:t>
            </w:r>
          </w:p>
        </w:tc>
        <w:tc>
          <w:tcPr>
            <w:tcW w:w="760" w:type="dxa"/>
            <w:vAlign w:val="center"/>
          </w:tcPr>
          <w:p>
            <w:pPr>
              <w:spacing w:before="20" w:after="20"/>
              <w:jc w:val="right"/>
            </w:pPr>
            <w:r>
              <w:rPr>
                <w:sz w:val="14"/>
                <w:szCs w:val="14"/>
              </w:rPr>
              <w:t xml:space="preserve">7,7</w:t>
            </w:r>
          </w:p>
        </w:tc>
        <w:tc>
          <w:tcPr>
            <w:tcW w:w="760" w:type="dxa"/>
            <w:vAlign w:val="center"/>
          </w:tcPr>
          <w:p>
            <w:pPr>
              <w:spacing w:before="20" w:after="20"/>
              <w:jc w:val="right"/>
            </w:pPr>
            <w:r>
              <w:rPr>
                <w:sz w:val="14"/>
                <w:szCs w:val="14"/>
              </w:rPr>
              <w:t xml:space="preserve">7,8</w:t>
            </w:r>
          </w:p>
        </w:tc>
        <w:tc>
          <w:tcPr>
            <w:tcW w:w="760" w:type="dxa"/>
            <w:vAlign w:val="center"/>
          </w:tcPr>
          <w:p>
            <w:pPr>
              <w:spacing w:before="20" w:after="20"/>
              <w:jc w:val="right"/>
            </w:pPr>
            <w:r>
              <w:rPr>
                <w:sz w:val="14"/>
                <w:szCs w:val="14"/>
              </w:rPr>
              <w:t xml:space="preserve">4,9</w:t>
            </w:r>
          </w:p>
        </w:tc>
        <w:tc>
          <w:tcPr>
            <w:tcW w:w="760" w:type="dxa"/>
            <w:vAlign w:val="center"/>
          </w:tcPr>
          <w:p>
            <w:pPr>
              <w:spacing w:before="20" w:after="20"/>
              <w:jc w:val="right"/>
            </w:pPr>
            <w:r>
              <w:rPr>
                <w:sz w:val="14"/>
                <w:szCs w:val="14"/>
              </w:rPr>
              <w:t xml:space="preserve">8,2</w:t>
            </w:r>
          </w:p>
        </w:tc>
        <w:tc>
          <w:tcPr>
            <w:tcW w:w="760" w:type="dxa"/>
            <w:vAlign w:val="center"/>
          </w:tcPr>
          <w:p>
            <w:pPr>
              <w:spacing w:before="20" w:after="20"/>
              <w:jc w:val="right"/>
            </w:pPr>
            <w:r>
              <w:rPr>
                <w:sz w:val="14"/>
                <w:szCs w:val="14"/>
              </w:rPr>
              <w:t xml:space="preserve">5,8</w:t>
            </w:r>
          </w:p>
        </w:tc>
        <w:tc>
          <w:tcPr>
            <w:tcW w:w="760" w:type="dxa"/>
            <w:vAlign w:val="center"/>
          </w:tcPr>
          <w:p>
            <w:pPr>
              <w:spacing w:before="20" w:after="20"/>
              <w:jc w:val="right"/>
            </w:pPr>
            <w:r>
              <w:rPr>
                <w:sz w:val="14"/>
                <w:szCs w:val="14"/>
              </w:rPr>
              <w:t xml:space="preserve">7,7</w:t>
            </w:r>
          </w:p>
        </w:tc>
        <w:tc>
          <w:tcPr>
            <w:tcW w:w="760" w:type="dxa"/>
            <w:vAlign w:val="center"/>
          </w:tcPr>
          <w:p>
            <w:pPr>
              <w:spacing w:before="20" w:after="20"/>
              <w:jc w:val="right"/>
            </w:pPr>
            <w:r>
              <w:rPr>
                <w:sz w:val="14"/>
                <w:szCs w:val="14"/>
              </w:rPr>
              <w:t xml:space="preserve">3,6</w:t>
            </w:r>
          </w:p>
        </w:tc>
        <w:tc>
          <w:tcPr>
            <w:tcW w:w="760" w:type="dxa"/>
            <w:vAlign w:val="center"/>
          </w:tcPr>
          <w:p>
            <w:pPr>
              <w:spacing w:before="20" w:after="20"/>
              <w:jc w:val="right"/>
            </w:pPr>
            <w:r>
              <w:rPr>
                <w:sz w:val="14"/>
                <w:szCs w:val="14"/>
              </w:rPr>
              <w:t xml:space="preserve">5,8</w:t>
            </w:r>
          </w:p>
        </w:tc>
        <w:tc>
          <w:tcPr>
            <w:tcW w:w="760" w:type="dxa"/>
            <w:vAlign w:val="center"/>
          </w:tcPr>
          <w:p>
            <w:pPr>
              <w:spacing w:before="20" w:after="20"/>
              <w:jc w:val="right"/>
            </w:pPr>
            <w:r>
              <w:rPr>
                <w:sz w:val="14"/>
                <w:szCs w:val="14"/>
              </w:rPr>
              <w:t xml:space="preserve">8,3</w:t>
            </w:r>
          </w:p>
        </w:tc>
        <w:tc>
          <w:tcPr>
            <w:tcW w:w="760" w:type="dxa"/>
            <w:vAlign w:val="center"/>
          </w:tcPr>
          <w:p>
            <w:pPr>
              <w:spacing w:before="20" w:after="20"/>
              <w:jc w:val="right"/>
            </w:pPr>
            <w:r>
              <w:rPr>
                <w:sz w:val="14"/>
                <w:szCs w:val="14"/>
              </w:rPr>
              <w:t xml:space="preserve">5,2</w:t>
            </w:r>
          </w:p>
        </w:tc>
        <w:tc>
          <w:tcPr>
            <w:tcW w:w="760" w:type="dxa"/>
            <w:vAlign w:val="center"/>
          </w:tcPr>
          <w:p>
            <w:pPr>
              <w:spacing w:before="20" w:after="20"/>
              <w:jc w:val="right"/>
            </w:pPr>
            <w:r>
              <w:rPr>
                <w:sz w:val="14"/>
                <w:szCs w:val="14"/>
              </w:rPr>
              <w:t xml:space="preserve">6,9</w:t>
            </w:r>
          </w:p>
        </w:tc>
        <w:tc>
          <w:tcPr>
            <w:tcW w:w="760" w:type="dxa"/>
            <w:vAlign w:val="center"/>
          </w:tcPr>
          <w:p>
            <w:pPr>
              <w:spacing w:before="20" w:after="20"/>
              <w:jc w:val="right"/>
            </w:pPr>
            <w:r>
              <w:rPr>
                <w:sz w:val="14"/>
                <w:szCs w:val="14"/>
              </w:rPr>
              <w:t xml:space="preserve">4,8</w:t>
            </w:r>
          </w:p>
        </w:tc>
        <w:tc>
          <w:tcPr>
            <w:tcW w:w="760" w:type="dxa"/>
            <w:vAlign w:val="center"/>
          </w:tcPr>
          <w:p>
            <w:pPr>
              <w:spacing w:before="20" w:after="20"/>
              <w:jc w:val="right"/>
            </w:pPr>
            <w:r>
              <w:rPr>
                <w:sz w:val="14"/>
                <w:szCs w:val="14"/>
              </w:rPr>
              <w:t xml:space="preserve">5,9</w:t>
            </w:r>
          </w:p>
        </w:tc>
        <w:tc>
          <w:tcPr>
            <w:tcW w:w="760" w:type="dxa"/>
            <w:vAlign w:val="center"/>
          </w:tcPr>
          <w:p>
            <w:pPr>
              <w:spacing w:before="20" w:after="20"/>
              <w:jc w:val="right"/>
            </w:pPr>
            <w:r>
              <w:rPr>
                <w:sz w:val="14"/>
                <w:szCs w:val="14"/>
              </w:rPr>
              <w:t xml:space="preserve">5,8</w:t>
            </w:r>
          </w:p>
        </w:tc>
        <w:tc>
          <w:tcPr>
            <w:tcW w:w="760" w:type="dxa"/>
            <w:vAlign w:val="center"/>
          </w:tcPr>
          <w:p>
            <w:pPr>
              <w:spacing w:before="20" w:after="20"/>
              <w:jc w:val="right"/>
            </w:pPr>
            <w:r>
              <w:rPr>
                <w:sz w:val="14"/>
                <w:szCs w:val="14"/>
              </w:rPr>
              <w:t xml:space="preserve">4,3</w:t>
            </w:r>
          </w:p>
        </w:tc>
      </w:tr>
      <w:tr>
        <w:trPr>
          <w:cantSplit/>
        </w:trPr>
        <w:tc>
          <w:tcPr>
            <w:tcW w:w="1700" w:type="dxa"/>
            <w:shd w:val="clear" w:color="auto" w:fill="F2F4F7"/>
            <w:vAlign w:val="center"/>
          </w:tcPr>
          <w:p>
            <w:pPr>
              <w:spacing w:before="20" w:after="20"/>
              <w:jc w:val="left"/>
            </w:pPr>
            <w:r>
              <w:rPr>
                <w:b/>
                <w:sz w:val="14"/>
                <w:szCs w:val="14"/>
              </w:rPr>
              <w:t xml:space="preserve">Éthiopie</w:t>
            </w:r>
          </w:p>
        </w:tc>
        <w:tc>
          <w:tcPr>
            <w:tcW w:w="760" w:type="dxa"/>
            <w:shd w:val="clear" w:color="auto" w:fill="F2F4F7"/>
            <w:vAlign w:val="center"/>
          </w:tcPr>
          <w:p>
            <w:pPr>
              <w:spacing w:before="20" w:after="20"/>
              <w:jc w:val="right"/>
            </w:pPr>
            <w:r>
              <w:rPr>
                <w:sz w:val="14"/>
                <w:szCs w:val="14"/>
              </w:rPr>
              <w:t xml:space="preserve">1,6</w:t>
            </w:r>
          </w:p>
        </w:tc>
        <w:tc>
          <w:tcPr>
            <w:tcW w:w="760" w:type="dxa"/>
            <w:shd w:val="clear" w:color="auto" w:fill="F2F4F7"/>
            <w:vAlign w:val="center"/>
          </w:tcPr>
          <w:p>
            <w:pPr>
              <w:spacing w:before="20" w:after="20"/>
              <w:jc w:val="right"/>
            </w:pPr>
            <w:r>
              <w:rPr>
                <w:sz w:val="14"/>
                <w:szCs w:val="14"/>
              </w:rPr>
              <w:t xml:space="preserve">3,7</w:t>
            </w:r>
          </w:p>
        </w:tc>
        <w:tc>
          <w:tcPr>
            <w:tcW w:w="760" w:type="dxa"/>
            <w:shd w:val="clear" w:color="auto" w:fill="F2F4F7"/>
            <w:vAlign w:val="center"/>
          </w:tcPr>
          <w:p>
            <w:pPr>
              <w:spacing w:before="20" w:after="20"/>
              <w:jc w:val="right"/>
            </w:pPr>
            <w:r>
              <w:rPr>
                <w:sz w:val="14"/>
                <w:szCs w:val="14"/>
              </w:rPr>
              <w:t xml:space="preserve">1,5</w:t>
            </w:r>
          </w:p>
        </w:tc>
        <w:tc>
          <w:tcPr>
            <w:tcW w:w="760" w:type="dxa"/>
            <w:shd w:val="clear" w:color="auto" w:fill="F2F4F7"/>
            <w:vAlign w:val="center"/>
          </w:tcPr>
          <w:p>
            <w:pPr>
              <w:spacing w:before="20" w:after="20"/>
              <w:jc w:val="right"/>
            </w:pPr>
            <w:r>
              <w:rPr>
                <w:sz w:val="14"/>
                <w:szCs w:val="14"/>
              </w:rPr>
              <w:t xml:space="preserve">0,6</w:t>
            </w:r>
          </w:p>
        </w:tc>
        <w:tc>
          <w:tcPr>
            <w:tcW w:w="760" w:type="dxa"/>
            <w:shd w:val="clear" w:color="auto" w:fill="F2F4F7"/>
            <w:vAlign w:val="center"/>
          </w:tcPr>
          <w:p>
            <w:pPr>
              <w:spacing w:before="20" w:after="20"/>
              <w:jc w:val="right"/>
            </w:pPr>
            <w:r>
              <w:rPr>
                <w:sz w:val="14"/>
                <w:szCs w:val="14"/>
              </w:rPr>
              <w:t xml:space="preserve">0,5</w:t>
            </w:r>
          </w:p>
        </w:tc>
        <w:tc>
          <w:tcPr>
            <w:tcW w:w="760" w:type="dxa"/>
            <w:shd w:val="clear" w:color="auto" w:fill="F2F4F7"/>
            <w:vAlign w:val="center"/>
          </w:tcPr>
          <w:p>
            <w:pPr>
              <w:spacing w:before="20" w:after="20"/>
              <w:jc w:val="right"/>
            </w:pPr>
            <w:r>
              <w:rPr>
                <w:sz w:val="14"/>
                <w:szCs w:val="14"/>
              </w:rPr>
              <w:t xml:space="preserve">0,4</w:t>
            </w:r>
          </w:p>
        </w:tc>
        <w:tc>
          <w:tcPr>
            <w:tcW w:w="760" w:type="dxa"/>
            <w:shd w:val="clear" w:color="auto" w:fill="F2F4F7"/>
            <w:vAlign w:val="center"/>
          </w:tcPr>
          <w:p>
            <w:pPr>
              <w:spacing w:before="20" w:after="20"/>
              <w:jc w:val="right"/>
            </w:pPr>
            <w:r>
              <w:rPr>
                <w:sz w:val="14"/>
                <w:szCs w:val="14"/>
              </w:rPr>
              <w:t xml:space="preserve">0,2</w:t>
            </w:r>
          </w:p>
        </w:tc>
        <w:tc>
          <w:tcPr>
            <w:tcW w:w="760" w:type="dxa"/>
            <w:shd w:val="clear" w:color="auto" w:fill="F2F4F7"/>
            <w:vAlign w:val="center"/>
          </w:tcPr>
          <w:p>
            <w:pPr>
              <w:spacing w:before="20" w:after="20"/>
              <w:jc w:val="right"/>
            </w:pPr>
            <w:r>
              <w:rPr>
                <w:sz w:val="14"/>
                <w:szCs w:val="14"/>
              </w:rPr>
              <w:t xml:space="preserve">0,4</w:t>
            </w:r>
          </w:p>
        </w:tc>
        <w:tc>
          <w:tcPr>
            <w:tcW w:w="760" w:type="dxa"/>
            <w:shd w:val="clear" w:color="auto" w:fill="F2F4F7"/>
            <w:vAlign w:val="center"/>
          </w:tcPr>
          <w:p>
            <w:pPr>
              <w:spacing w:before="20" w:after="20"/>
              <w:jc w:val="right"/>
            </w:pPr>
            <w:r>
              <w:rPr>
                <w:sz w:val="14"/>
                <w:szCs w:val="14"/>
              </w:rPr>
              <w:t xml:space="preserve">0,1</w:t>
            </w:r>
          </w:p>
        </w:tc>
        <w:tc>
          <w:tcPr>
            <w:tcW w:w="760" w:type="dxa"/>
            <w:shd w:val="clear" w:color="auto" w:fill="F2F4F7"/>
            <w:vAlign w:val="center"/>
          </w:tcPr>
          <w:p>
            <w:pPr>
              <w:spacing w:before="20" w:after="20"/>
              <w:jc w:val="right"/>
            </w:pPr>
            <w:r>
              <w:rPr>
                <w:sz w:val="14"/>
                <w:szCs w:val="14"/>
              </w:rPr>
              <w:t xml:space="preserve">2,9</w:t>
            </w:r>
          </w:p>
        </w:tc>
        <w:tc>
          <w:tcPr>
            <w:tcW w:w="760" w:type="dxa"/>
            <w:shd w:val="clear" w:color="auto" w:fill="F2F4F7"/>
            <w:vAlign w:val="center"/>
          </w:tcPr>
          <w:p>
            <w:pPr>
              <w:spacing w:before="20" w:after="20"/>
              <w:jc w:val="right"/>
            </w:pPr>
            <w:r>
              <w:rPr>
                <w:sz w:val="14"/>
                <w:szCs w:val="14"/>
              </w:rPr>
              <w:t xml:space="preserve">1,8</w:t>
            </w:r>
          </w:p>
        </w:tc>
        <w:tc>
          <w:tcPr>
            <w:tcW w:w="760" w:type="dxa"/>
            <w:shd w:val="clear" w:color="auto" w:fill="F2F4F7"/>
            <w:vAlign w:val="center"/>
          </w:tcPr>
          <w:p>
            <w:pPr>
              <w:spacing w:before="20" w:after="20"/>
              <w:jc w:val="right"/>
            </w:pPr>
            <w:r>
              <w:rPr>
                <w:sz w:val="14"/>
                <w:szCs w:val="14"/>
              </w:rPr>
              <w:t xml:space="preserve">1,1</w:t>
            </w:r>
          </w:p>
        </w:tc>
        <w:tc>
          <w:tcPr>
            <w:tcW w:w="760" w:type="dxa"/>
            <w:shd w:val="clear" w:color="auto" w:fill="F2F4F7"/>
            <w:vAlign w:val="center"/>
          </w:tcPr>
          <w:p>
            <w:pPr>
              <w:spacing w:before="20" w:after="20"/>
              <w:jc w:val="right"/>
            </w:pPr>
            <w:r>
              <w:rPr>
                <w:sz w:val="14"/>
                <w:szCs w:val="14"/>
              </w:rPr>
              <w:t xml:space="preserve">0,7</w:t>
            </w:r>
          </w:p>
        </w:tc>
        <w:tc>
          <w:tcPr>
            <w:tcW w:w="760" w:type="dxa"/>
            <w:shd w:val="clear" w:color="auto" w:fill="F2F4F7"/>
            <w:vAlign w:val="center"/>
          </w:tcPr>
          <w:p>
            <w:pPr>
              <w:spacing w:before="20" w:after="20"/>
              <w:jc w:val="right"/>
            </w:pPr>
            <w:r>
              <w:rPr>
                <w:sz w:val="14"/>
                <w:szCs w:val="14"/>
              </w:rPr>
              <w:t xml:space="preserve">0,5</w:t>
            </w:r>
          </w:p>
        </w:tc>
        <w:tc>
          <w:tcPr>
            <w:tcW w:w="760" w:type="dxa"/>
            <w:shd w:val="clear" w:color="auto" w:fill="F2F4F7"/>
            <w:vAlign w:val="center"/>
          </w:tcPr>
          <w:p>
            <w:pPr>
              <w:spacing w:before="20" w:after="20"/>
              <w:jc w:val="right"/>
            </w:pPr>
            <w:r>
              <w:rPr>
                <w:sz w:val="14"/>
                <w:szCs w:val="14"/>
              </w:rPr>
              <w:t xml:space="preserve">0,7</w:t>
            </w:r>
          </w:p>
        </w:tc>
        <w:tc>
          <w:tcPr>
            <w:tcW w:w="760" w:type="dxa"/>
            <w:shd w:val="clear" w:color="auto" w:fill="F2F4F7"/>
            <w:vAlign w:val="center"/>
          </w:tcPr>
          <w:p>
            <w:pPr>
              <w:spacing w:before="20" w:after="20"/>
              <w:jc w:val="right"/>
            </w:pPr>
            <w:r>
              <w:rPr>
                <w:sz w:val="14"/>
                <w:szCs w:val="14"/>
              </w:rPr>
              <w:t xml:space="preserve">1,5</w:t>
            </w:r>
          </w:p>
        </w:tc>
        <w:tc>
          <w:tcPr>
            <w:tcW w:w="760" w:type="dxa"/>
            <w:shd w:val="clear" w:color="auto" w:fill="F2F4F7"/>
            <w:vAlign w:val="center"/>
          </w:tcPr>
          <w:p>
            <w:pPr>
              <w:spacing w:before="20" w:after="20"/>
              <w:jc w:val="right"/>
            </w:pPr>
            <w:r>
              <w:rPr>
                <w:sz w:val="14"/>
                <w:szCs w:val="14"/>
              </w:rPr>
              <w:t xml:space="preserve">1,2</w:t>
            </w:r>
          </w:p>
        </w:tc>
      </w:tr>
      <w:tr>
        <w:trPr>
          <w:cantSplit/>
        </w:trPr>
        <w:tc>
          <w:tcPr>
            <w:tcW w:w="1700" w:type="dxa"/>
            <w:vAlign w:val="center"/>
          </w:tcPr>
          <w:p>
            <w:pPr>
              <w:spacing w:before="20" w:after="20"/>
              <w:jc w:val="left"/>
            </w:pPr>
            <w:r>
              <w:rPr>
                <w:b/>
                <w:sz w:val="14"/>
                <w:szCs w:val="14"/>
              </w:rPr>
              <w:t xml:space="preserve">Indonésie</w:t>
            </w:r>
          </w:p>
        </w:tc>
        <w:tc>
          <w:tcPr>
            <w:tcW w:w="760" w:type="dxa"/>
            <w:vAlign w:val="center"/>
          </w:tcPr>
          <w:p>
            <w:pPr>
              <w:spacing w:before="20" w:after="20"/>
              <w:jc w:val="right"/>
            </w:pPr>
            <w:r>
              <w:rPr>
                <w:sz w:val="14"/>
                <w:szCs w:val="14"/>
              </w:rPr>
              <w:t xml:space="preserve">0,7</w:t>
            </w:r>
          </w:p>
        </w:tc>
        <w:tc>
          <w:tcPr>
            <w:tcW w:w="760" w:type="dxa"/>
            <w:vAlign w:val="center"/>
          </w:tcPr>
          <w:p>
            <w:pPr>
              <w:spacing w:before="20" w:after="20"/>
              <w:jc w:val="right"/>
            </w:pPr>
            <w:r>
              <w:rPr>
                <w:sz w:val="14"/>
                <w:szCs w:val="14"/>
              </w:rPr>
              <w:t xml:space="preserve">0,9</w:t>
            </w:r>
          </w:p>
        </w:tc>
        <w:tc>
          <w:tcPr>
            <w:tcW w:w="760" w:type="dxa"/>
            <w:vAlign w:val="center"/>
          </w:tcPr>
          <w:p>
            <w:pPr>
              <w:spacing w:before="20" w:after="20"/>
              <w:jc w:val="right"/>
            </w:pPr>
            <w:r>
              <w:rPr>
                <w:sz w:val="14"/>
                <w:szCs w:val="14"/>
              </w:rPr>
              <w:t xml:space="preserve">0,7</w:t>
            </w:r>
          </w:p>
        </w:tc>
        <w:tc>
          <w:tcPr>
            <w:tcW w:w="760" w:type="dxa"/>
            <w:vAlign w:val="center"/>
          </w:tcPr>
          <w:p>
            <w:pPr>
              <w:spacing w:before="20" w:after="20"/>
              <w:jc w:val="right"/>
            </w:pPr>
            <w:r>
              <w:rPr>
                <w:sz w:val="14"/>
                <w:szCs w:val="14"/>
              </w:rPr>
              <w:t xml:space="preserve">0,4</w:t>
            </w:r>
          </w:p>
        </w:tc>
        <w:tc>
          <w:tcPr>
            <w:tcW w:w="760" w:type="dxa"/>
            <w:vAlign w:val="center"/>
          </w:tcPr>
          <w:p>
            <w:pPr>
              <w:spacing w:before="20" w:after="20"/>
              <w:jc w:val="right"/>
            </w:pPr>
            <w:r>
              <w:rPr>
                <w:sz w:val="14"/>
                <w:szCs w:val="14"/>
              </w:rPr>
              <w:t xml:space="preserve">0,5</w:t>
            </w:r>
          </w:p>
        </w:tc>
        <w:tc>
          <w:tcPr>
            <w:tcW w:w="760" w:type="dxa"/>
            <w:vAlign w:val="center"/>
          </w:tcPr>
          <w:p>
            <w:pPr>
              <w:spacing w:before="20" w:after="20"/>
              <w:jc w:val="right"/>
            </w:pPr>
            <w:r>
              <w:rPr>
                <w:sz w:val="14"/>
                <w:szCs w:val="14"/>
              </w:rPr>
              <w:t xml:space="preserve">0,4</w:t>
            </w:r>
          </w:p>
        </w:tc>
        <w:tc>
          <w:tcPr>
            <w:tcW w:w="760" w:type="dxa"/>
            <w:vAlign w:val="center"/>
          </w:tcPr>
          <w:p>
            <w:pPr>
              <w:spacing w:before="20" w:after="20"/>
              <w:jc w:val="right"/>
            </w:pPr>
            <w:r>
              <w:rPr>
                <w:sz w:val="14"/>
                <w:szCs w:val="14"/>
              </w:rPr>
              <w:t xml:space="preserve">0,1</w:t>
            </w:r>
          </w:p>
        </w:tc>
        <w:tc>
          <w:tcPr>
            <w:tcW w:w="760" w:type="dxa"/>
            <w:vAlign w:val="center"/>
          </w:tcPr>
          <w:p>
            <w:pPr>
              <w:spacing w:before="20" w:after="20"/>
              <w:jc w:val="right"/>
            </w:pPr>
            <w:r>
              <w:rPr>
                <w:sz w:val="14"/>
                <w:szCs w:val="14"/>
              </w:rPr>
              <w:t xml:space="preserve">5,1</w:t>
            </w:r>
          </w:p>
        </w:tc>
        <w:tc>
          <w:tcPr>
            <w:tcW w:w="760" w:type="dxa"/>
            <w:vAlign w:val="center"/>
          </w:tcPr>
          <w:p>
            <w:pPr>
              <w:spacing w:before="20" w:after="20"/>
              <w:jc w:val="right"/>
            </w:pPr>
            <w:r>
              <w:rPr>
                <w:sz w:val="14"/>
                <w:szCs w:val="14"/>
              </w:rPr>
              <w:t xml:space="preserve">23,1</w:t>
            </w:r>
          </w:p>
        </w:tc>
        <w:tc>
          <w:tcPr>
            <w:tcW w:w="760" w:type="dxa"/>
            <w:vAlign w:val="center"/>
          </w:tcPr>
          <w:p>
            <w:pPr>
              <w:spacing w:before="20" w:after="20"/>
              <w:jc w:val="right"/>
            </w:pPr>
            <w:r>
              <w:rPr>
                <w:sz w:val="14"/>
                <w:szCs w:val="14"/>
              </w:rPr>
              <w:t xml:space="preserve">19,1</w:t>
            </w:r>
          </w:p>
        </w:tc>
        <w:tc>
          <w:tcPr>
            <w:tcW w:w="760" w:type="dxa"/>
            <w:vAlign w:val="center"/>
          </w:tcPr>
          <w:p>
            <w:pPr>
              <w:spacing w:before="20" w:after="20"/>
              <w:jc w:val="right"/>
            </w:pPr>
            <w:r>
              <w:rPr>
                <w:sz w:val="14"/>
                <w:szCs w:val="14"/>
              </w:rPr>
              <w:t xml:space="preserve">13,5</w:t>
            </w:r>
          </w:p>
        </w:tc>
        <w:tc>
          <w:tcPr>
            <w:tcW w:w="760" w:type="dxa"/>
            <w:vAlign w:val="center"/>
          </w:tcPr>
          <w:p>
            <w:pPr>
              <w:spacing w:before="20" w:after="20"/>
              <w:jc w:val="right"/>
            </w:pPr>
            <w:r>
              <w:rPr>
                <w:sz w:val="14"/>
                <w:szCs w:val="14"/>
              </w:rPr>
              <w:t xml:space="preserve">8,7</w:t>
            </w:r>
          </w:p>
        </w:tc>
        <w:tc>
          <w:tcPr>
            <w:tcW w:w="760" w:type="dxa"/>
            <w:vAlign w:val="center"/>
          </w:tcPr>
          <w:p>
            <w:pPr>
              <w:spacing w:before="20" w:after="20"/>
              <w:jc w:val="right"/>
            </w:pPr>
            <w:r>
              <w:rPr>
                <w:sz w:val="14"/>
                <w:szCs w:val="14"/>
              </w:rPr>
              <w:t xml:space="preserve">4,0</w:t>
            </w:r>
          </w:p>
        </w:tc>
        <w:tc>
          <w:tcPr>
            <w:tcW w:w="760" w:type="dxa"/>
            <w:vAlign w:val="center"/>
          </w:tcPr>
          <w:p>
            <w:pPr>
              <w:spacing w:before="20" w:after="20"/>
              <w:jc w:val="right"/>
            </w:pPr>
            <w:r>
              <w:rPr>
                <w:sz w:val="14"/>
                <w:szCs w:val="14"/>
              </w:rPr>
              <w:t xml:space="preserve">4,7</w:t>
            </w:r>
          </w:p>
        </w:tc>
        <w:tc>
          <w:tcPr>
            <w:tcW w:w="760" w:type="dxa"/>
            <w:vAlign w:val="center"/>
          </w:tcPr>
          <w:p>
            <w:pPr>
              <w:spacing w:before="20" w:after="20"/>
              <w:jc w:val="right"/>
            </w:pPr>
            <w:r>
              <w:rPr>
                <w:sz w:val="14"/>
                <w:szCs w:val="14"/>
              </w:rPr>
              <w:t xml:space="preserve">5,1</w:t>
            </w:r>
          </w:p>
        </w:tc>
        <w:tc>
          <w:tcPr>
            <w:tcW w:w="760" w:type="dxa"/>
            <w:vAlign w:val="center"/>
          </w:tcPr>
          <w:p>
            <w:pPr>
              <w:spacing w:before="20" w:after="20"/>
              <w:jc w:val="right"/>
            </w:pPr>
            <w:r>
              <w:rPr>
                <w:sz w:val="14"/>
                <w:szCs w:val="14"/>
              </w:rPr>
              <w:t xml:space="preserve">5,5</w:t>
            </w:r>
          </w:p>
        </w:tc>
        <w:tc>
          <w:tcPr>
            <w:tcW w:w="760" w:type="dxa"/>
            <w:vAlign w:val="center"/>
          </w:tcPr>
          <w:p>
            <w:pPr>
              <w:spacing w:before="20" w:after="20"/>
              <w:jc w:val="right"/>
            </w:pPr>
            <w:r>
              <w:rPr>
                <w:sz w:val="14"/>
                <w:szCs w:val="14"/>
              </w:rPr>
              <w:t xml:space="preserve">5,2</w:t>
            </w:r>
          </w:p>
        </w:tc>
      </w:tr>
      <w:tr>
        <w:trPr>
          <w:cantSplit/>
        </w:trPr>
        <w:tc>
          <w:tcPr>
            <w:tcW w:w="1700" w:type="dxa"/>
            <w:shd w:val="clear" w:color="auto" w:fill="F2F4F7"/>
            <w:vAlign w:val="center"/>
          </w:tcPr>
          <w:p>
            <w:pPr>
              <w:spacing w:before="20" w:after="20"/>
              <w:jc w:val="left"/>
            </w:pPr>
            <w:r>
              <w:rPr>
                <w:b/>
                <w:sz w:val="14"/>
                <w:szCs w:val="14"/>
              </w:rPr>
              <w:t xml:space="preserve">Ouganda</w:t>
            </w:r>
          </w:p>
        </w:tc>
        <w:tc>
          <w:tcPr>
            <w:tcW w:w="760" w:type="dxa"/>
            <w:shd w:val="clear" w:color="auto" w:fill="F2F4F7"/>
            <w:vAlign w:val="center"/>
          </w:tcPr>
          <w:p>
            <w:pPr>
              <w:spacing w:before="20" w:after="20"/>
              <w:jc w:val="right"/>
            </w:pPr>
            <w:r>
              <w:rPr>
                <w:sz w:val="14"/>
                <w:szCs w:val="14"/>
              </w:rPr>
              <w:t xml:space="preserve">18,6</w:t>
            </w:r>
          </w:p>
        </w:tc>
        <w:tc>
          <w:tcPr>
            <w:tcW w:w="760" w:type="dxa"/>
            <w:shd w:val="clear" w:color="auto" w:fill="F2F4F7"/>
            <w:vAlign w:val="center"/>
          </w:tcPr>
          <w:p>
            <w:pPr>
              <w:spacing w:before="20" w:after="20"/>
              <w:jc w:val="right"/>
            </w:pPr>
            <w:r>
              <w:rPr>
                <w:sz w:val="14"/>
                <w:szCs w:val="14"/>
              </w:rPr>
              <w:t xml:space="preserve">17,1</w:t>
            </w:r>
          </w:p>
        </w:tc>
        <w:tc>
          <w:tcPr>
            <w:tcW w:w="760" w:type="dxa"/>
            <w:shd w:val="clear" w:color="auto" w:fill="F2F4F7"/>
            <w:vAlign w:val="center"/>
          </w:tcPr>
          <w:p>
            <w:pPr>
              <w:spacing w:before="20" w:after="20"/>
              <w:jc w:val="right"/>
            </w:pPr>
            <w:r>
              <w:rPr>
                <w:sz w:val="14"/>
                <w:szCs w:val="14"/>
              </w:rPr>
              <w:t xml:space="preserve">9,6</w:t>
            </w:r>
          </w:p>
        </w:tc>
        <w:tc>
          <w:tcPr>
            <w:tcW w:w="760" w:type="dxa"/>
            <w:shd w:val="clear" w:color="auto" w:fill="F2F4F7"/>
            <w:vAlign w:val="center"/>
          </w:tcPr>
          <w:p>
            <w:pPr>
              <w:spacing w:before="20" w:after="20"/>
              <w:jc w:val="right"/>
            </w:pPr>
            <w:r>
              <w:rPr>
                <w:sz w:val="14"/>
                <w:szCs w:val="14"/>
              </w:rPr>
              <w:t xml:space="preserve">10,3</w:t>
            </w:r>
          </w:p>
        </w:tc>
        <w:tc>
          <w:tcPr>
            <w:tcW w:w="760" w:type="dxa"/>
            <w:shd w:val="clear" w:color="auto" w:fill="F2F4F7"/>
            <w:vAlign w:val="center"/>
          </w:tcPr>
          <w:p>
            <w:pPr>
              <w:spacing w:before="20" w:after="20"/>
              <w:jc w:val="right"/>
            </w:pPr>
            <w:r>
              <w:rPr>
                <w:sz w:val="14"/>
                <w:szCs w:val="14"/>
              </w:rPr>
              <w:t xml:space="preserve">8,7</w:t>
            </w:r>
          </w:p>
        </w:tc>
        <w:tc>
          <w:tcPr>
            <w:tcW w:w="760" w:type="dxa"/>
            <w:shd w:val="clear" w:color="auto" w:fill="F2F4F7"/>
            <w:vAlign w:val="center"/>
          </w:tcPr>
          <w:p>
            <w:pPr>
              <w:spacing w:before="20" w:after="20"/>
              <w:jc w:val="right"/>
            </w:pPr>
            <w:r>
              <w:rPr>
                <w:sz w:val="14"/>
                <w:szCs w:val="14"/>
              </w:rPr>
              <w:t xml:space="preserve">8,8</w:t>
            </w:r>
          </w:p>
        </w:tc>
        <w:tc>
          <w:tcPr>
            <w:tcW w:w="760" w:type="dxa"/>
            <w:shd w:val="clear" w:color="auto" w:fill="F2F4F7"/>
            <w:vAlign w:val="center"/>
          </w:tcPr>
          <w:p>
            <w:pPr>
              <w:spacing w:before="20" w:after="20"/>
              <w:jc w:val="right"/>
            </w:pPr>
            <w:r>
              <w:rPr>
                <w:sz w:val="14"/>
                <w:szCs w:val="14"/>
              </w:rPr>
              <w:t xml:space="preserve">7,0</w:t>
            </w:r>
          </w:p>
        </w:tc>
        <w:tc>
          <w:tcPr>
            <w:tcW w:w="760" w:type="dxa"/>
            <w:shd w:val="clear" w:color="auto" w:fill="F2F4F7"/>
            <w:vAlign w:val="center"/>
          </w:tcPr>
          <w:p>
            <w:pPr>
              <w:spacing w:before="20" w:after="20"/>
              <w:jc w:val="right"/>
            </w:pPr>
            <w:r>
              <w:rPr>
                <w:sz w:val="14"/>
                <w:szCs w:val="14"/>
              </w:rPr>
              <w:t xml:space="preserve">8,5</w:t>
            </w:r>
          </w:p>
        </w:tc>
        <w:tc>
          <w:tcPr>
            <w:tcW w:w="760" w:type="dxa"/>
            <w:shd w:val="clear" w:color="auto" w:fill="F2F4F7"/>
            <w:vAlign w:val="center"/>
          </w:tcPr>
          <w:p>
            <w:pPr>
              <w:spacing w:before="20" w:after="20"/>
              <w:jc w:val="right"/>
            </w:pPr>
            <w:r>
              <w:rPr>
                <w:sz w:val="14"/>
                <w:szCs w:val="14"/>
              </w:rPr>
              <w:t xml:space="preserve">7,2</w:t>
            </w:r>
          </w:p>
        </w:tc>
        <w:tc>
          <w:tcPr>
            <w:tcW w:w="760" w:type="dxa"/>
            <w:shd w:val="clear" w:color="auto" w:fill="F2F4F7"/>
            <w:vAlign w:val="center"/>
          </w:tcPr>
          <w:p>
            <w:pPr>
              <w:spacing w:before="20" w:after="20"/>
              <w:jc w:val="right"/>
            </w:pPr>
            <w:r>
              <w:rPr>
                <w:sz w:val="14"/>
                <w:szCs w:val="14"/>
              </w:rPr>
              <w:t xml:space="preserve">6,7</w:t>
            </w:r>
          </w:p>
        </w:tc>
        <w:tc>
          <w:tcPr>
            <w:tcW w:w="760" w:type="dxa"/>
            <w:shd w:val="clear" w:color="auto" w:fill="F2F4F7"/>
            <w:vAlign w:val="center"/>
          </w:tcPr>
          <w:p>
            <w:pPr>
              <w:spacing w:before="20" w:after="20"/>
              <w:jc w:val="right"/>
            </w:pPr>
            <w:r>
              <w:rPr>
                <w:sz w:val="14"/>
                <w:szCs w:val="14"/>
              </w:rPr>
              <w:t xml:space="preserve">5,7</w:t>
            </w:r>
          </w:p>
        </w:tc>
        <w:tc>
          <w:tcPr>
            <w:tcW w:w="760" w:type="dxa"/>
            <w:shd w:val="clear" w:color="auto" w:fill="F2F4F7"/>
            <w:vAlign w:val="center"/>
          </w:tcPr>
          <w:p>
            <w:pPr>
              <w:spacing w:before="20" w:after="20"/>
              <w:jc w:val="right"/>
            </w:pPr>
            <w:r>
              <w:rPr>
                <w:sz w:val="14"/>
                <w:szCs w:val="14"/>
              </w:rPr>
              <w:t xml:space="preserve">7,6</w:t>
            </w:r>
          </w:p>
        </w:tc>
        <w:tc>
          <w:tcPr>
            <w:tcW w:w="760" w:type="dxa"/>
            <w:shd w:val="clear" w:color="auto" w:fill="F2F4F7"/>
            <w:vAlign w:val="center"/>
          </w:tcPr>
          <w:p>
            <w:pPr>
              <w:spacing w:before="20" w:after="20"/>
              <w:jc w:val="right"/>
            </w:pPr>
            <w:r>
              <w:rPr>
                <w:sz w:val="14"/>
                <w:szCs w:val="14"/>
              </w:rPr>
              <w:t xml:space="preserve">7,2</w:t>
            </w:r>
          </w:p>
        </w:tc>
        <w:tc>
          <w:tcPr>
            <w:tcW w:w="760" w:type="dxa"/>
            <w:shd w:val="clear" w:color="auto" w:fill="F2F4F7"/>
            <w:vAlign w:val="center"/>
          </w:tcPr>
          <w:p>
            <w:pPr>
              <w:spacing w:before="20" w:after="20"/>
              <w:jc w:val="right"/>
            </w:pPr>
            <w:r>
              <w:rPr>
                <w:sz w:val="14"/>
                <w:szCs w:val="14"/>
              </w:rPr>
              <w:t xml:space="preserve">3,7</w:t>
            </w:r>
          </w:p>
        </w:tc>
        <w:tc>
          <w:tcPr>
            <w:tcW w:w="760" w:type="dxa"/>
            <w:shd w:val="clear" w:color="auto" w:fill="F2F4F7"/>
            <w:vAlign w:val="center"/>
          </w:tcPr>
          <w:p>
            <w:pPr>
              <w:spacing w:before="20" w:after="20"/>
              <w:jc w:val="right"/>
            </w:pPr>
            <w:r>
              <w:rPr>
                <w:sz w:val="14"/>
                <w:szCs w:val="14"/>
              </w:rPr>
              <w:t xml:space="preserve">4,0</w:t>
            </w:r>
          </w:p>
        </w:tc>
        <w:tc>
          <w:tcPr>
            <w:tcW w:w="760" w:type="dxa"/>
            <w:shd w:val="clear" w:color="auto" w:fill="F2F4F7"/>
            <w:vAlign w:val="center"/>
          </w:tcPr>
          <w:p>
            <w:pPr>
              <w:spacing w:before="20" w:after="20"/>
              <w:jc w:val="right"/>
            </w:pPr>
            <w:r>
              <w:rPr>
                <w:sz w:val="14"/>
                <w:szCs w:val="14"/>
              </w:rPr>
              <w:t xml:space="preserve">4,8</w:t>
            </w:r>
          </w:p>
        </w:tc>
        <w:tc>
          <w:tcPr>
            <w:tcW w:w="760" w:type="dxa"/>
            <w:shd w:val="clear" w:color="auto" w:fill="F2F4F7"/>
            <w:vAlign w:val="center"/>
          </w:tcPr>
          <w:p>
            <w:pPr>
              <w:spacing w:before="20" w:after="20"/>
              <w:jc w:val="right"/>
            </w:pPr>
            <w:r>
              <w:rPr>
                <w:sz w:val="14"/>
                <w:szCs w:val="14"/>
              </w:rPr>
              <w:t xml:space="preserve">4,6</w:t>
            </w:r>
          </w:p>
        </w:tc>
      </w:tr>
      <w:tr>
        <w:trPr>
          <w:cantSplit/>
        </w:trPr>
        <w:tc>
          <w:tcPr>
            <w:tcW w:w="1700" w:type="dxa"/>
            <w:vAlign w:val="center"/>
          </w:tcPr>
          <w:p>
            <w:pPr>
              <w:spacing w:before="20" w:after="20"/>
              <w:jc w:val="left"/>
            </w:pPr>
            <w:r>
              <w:rPr>
                <w:b/>
                <w:sz w:val="14"/>
                <w:szCs w:val="14"/>
              </w:rPr>
              <w:t xml:space="preserve">Inde</w:t>
            </w:r>
          </w:p>
        </w:tc>
        <w:tc>
          <w:tcPr>
            <w:tcW w:w="760" w:type="dxa"/>
            <w:vAlign w:val="center"/>
          </w:tcPr>
          <w:p>
            <w:pPr>
              <w:spacing w:before="20" w:after="20"/>
              <w:jc w:val="right"/>
            </w:pPr>
            <w:r>
              <w:rPr>
                <w:sz w:val="14"/>
                <w:szCs w:val="14"/>
              </w:rPr>
              <w:t xml:space="preserve">25,8</w:t>
            </w:r>
          </w:p>
        </w:tc>
        <w:tc>
          <w:tcPr>
            <w:tcW w:w="760" w:type="dxa"/>
            <w:vAlign w:val="center"/>
          </w:tcPr>
          <w:p>
            <w:pPr>
              <w:spacing w:before="20" w:after="20"/>
              <w:jc w:val="right"/>
            </w:pPr>
            <w:r>
              <w:rPr>
                <w:sz w:val="14"/>
                <w:szCs w:val="14"/>
              </w:rPr>
              <w:t xml:space="preserve">23,0</w:t>
            </w:r>
          </w:p>
        </w:tc>
        <w:tc>
          <w:tcPr>
            <w:tcW w:w="760" w:type="dxa"/>
            <w:vAlign w:val="center"/>
          </w:tcPr>
          <w:p>
            <w:pPr>
              <w:spacing w:before="20" w:after="20"/>
              <w:jc w:val="right"/>
            </w:pPr>
            <w:r>
              <w:rPr>
                <w:sz w:val="14"/>
                <w:szCs w:val="14"/>
              </w:rPr>
              <w:t xml:space="preserve">33,3</w:t>
            </w:r>
          </w:p>
        </w:tc>
        <w:tc>
          <w:tcPr>
            <w:tcW w:w="760" w:type="dxa"/>
            <w:vAlign w:val="center"/>
          </w:tcPr>
          <w:p>
            <w:pPr>
              <w:spacing w:before="20" w:after="20"/>
              <w:jc w:val="right"/>
            </w:pPr>
            <w:r>
              <w:rPr>
                <w:sz w:val="14"/>
                <w:szCs w:val="14"/>
              </w:rPr>
              <w:t xml:space="preserve">32,8</w:t>
            </w:r>
          </w:p>
        </w:tc>
        <w:tc>
          <w:tcPr>
            <w:tcW w:w="760" w:type="dxa"/>
            <w:vAlign w:val="center"/>
          </w:tcPr>
          <w:p>
            <w:pPr>
              <w:spacing w:before="20" w:after="20"/>
              <w:jc w:val="right"/>
            </w:pPr>
            <w:r>
              <w:rPr>
                <w:sz w:val="14"/>
                <w:szCs w:val="14"/>
              </w:rPr>
              <w:t xml:space="preserve">42,5</w:t>
            </w:r>
          </w:p>
        </w:tc>
        <w:tc>
          <w:tcPr>
            <w:tcW w:w="760" w:type="dxa"/>
            <w:vAlign w:val="center"/>
          </w:tcPr>
          <w:p>
            <w:pPr>
              <w:spacing w:before="20" w:after="20"/>
              <w:jc w:val="right"/>
            </w:pPr>
            <w:r>
              <w:rPr>
                <w:sz w:val="14"/>
                <w:szCs w:val="14"/>
              </w:rPr>
              <w:t xml:space="preserve">38,1</w:t>
            </w:r>
          </w:p>
        </w:tc>
        <w:tc>
          <w:tcPr>
            <w:tcW w:w="760" w:type="dxa"/>
            <w:vAlign w:val="center"/>
          </w:tcPr>
          <w:p>
            <w:pPr>
              <w:spacing w:before="20" w:after="20"/>
              <w:jc w:val="right"/>
            </w:pPr>
            <w:r>
              <w:rPr>
                <w:sz w:val="14"/>
                <w:szCs w:val="14"/>
              </w:rPr>
              <w:t xml:space="preserve">25,5</w:t>
            </w:r>
          </w:p>
        </w:tc>
        <w:tc>
          <w:tcPr>
            <w:tcW w:w="760" w:type="dxa"/>
            <w:vAlign w:val="center"/>
          </w:tcPr>
          <w:p>
            <w:pPr>
              <w:spacing w:before="20" w:after="20"/>
              <w:jc w:val="right"/>
            </w:pPr>
            <w:r>
              <w:rPr>
                <w:sz w:val="14"/>
                <w:szCs w:val="14"/>
              </w:rPr>
              <w:t xml:space="preserve">16,9</w:t>
            </w:r>
          </w:p>
        </w:tc>
        <w:tc>
          <w:tcPr>
            <w:tcW w:w="760" w:type="dxa"/>
            <w:vAlign w:val="center"/>
          </w:tcPr>
          <w:p>
            <w:pPr>
              <w:spacing w:before="20" w:after="20"/>
              <w:jc w:val="right"/>
            </w:pPr>
            <w:r>
              <w:rPr>
                <w:sz w:val="14"/>
                <w:szCs w:val="14"/>
              </w:rPr>
              <w:t xml:space="preserve">13,2</w:t>
            </w:r>
          </w:p>
        </w:tc>
        <w:tc>
          <w:tcPr>
            <w:tcW w:w="760" w:type="dxa"/>
            <w:vAlign w:val="center"/>
          </w:tcPr>
          <w:p>
            <w:pPr>
              <w:spacing w:before="20" w:after="20"/>
              <w:jc w:val="right"/>
            </w:pPr>
            <w:r>
              <w:rPr>
                <w:sz w:val="14"/>
                <w:szCs w:val="14"/>
              </w:rPr>
              <w:t xml:space="preserve">15,3</w:t>
            </w:r>
          </w:p>
        </w:tc>
        <w:tc>
          <w:tcPr>
            <w:tcW w:w="760" w:type="dxa"/>
            <w:vAlign w:val="center"/>
          </w:tcPr>
          <w:p>
            <w:pPr>
              <w:spacing w:before="20" w:after="20"/>
              <w:jc w:val="right"/>
            </w:pPr>
            <w:r>
              <w:rPr>
                <w:sz w:val="14"/>
                <w:szCs w:val="14"/>
              </w:rPr>
              <w:t xml:space="preserve">13,1</w:t>
            </w:r>
          </w:p>
        </w:tc>
        <w:tc>
          <w:tcPr>
            <w:tcW w:w="760" w:type="dxa"/>
            <w:vAlign w:val="center"/>
          </w:tcPr>
          <w:p>
            <w:pPr>
              <w:spacing w:before="20" w:after="20"/>
              <w:jc w:val="right"/>
            </w:pPr>
            <w:r>
              <w:rPr>
                <w:sz w:val="14"/>
                <w:szCs w:val="14"/>
              </w:rPr>
              <w:t xml:space="preserve">2,1</w:t>
            </w:r>
          </w:p>
        </w:tc>
        <w:tc>
          <w:tcPr>
            <w:tcW w:w="760" w:type="dxa"/>
            <w:vAlign w:val="center"/>
          </w:tcPr>
          <w:p>
            <w:pPr>
              <w:spacing w:before="20" w:after="20"/>
              <w:jc w:val="right"/>
            </w:pPr>
            <w:r>
              <w:rPr>
                <w:sz w:val="14"/>
                <w:szCs w:val="14"/>
              </w:rPr>
              <w:t xml:space="preserve">6,5</w:t>
            </w:r>
          </w:p>
        </w:tc>
        <w:tc>
          <w:tcPr>
            <w:tcW w:w="760" w:type="dxa"/>
            <w:vAlign w:val="center"/>
          </w:tcPr>
          <w:p>
            <w:pPr>
              <w:spacing w:before="20" w:after="20"/>
              <w:jc w:val="right"/>
            </w:pPr>
            <w:r>
              <w:rPr>
                <w:sz w:val="14"/>
                <w:szCs w:val="14"/>
              </w:rPr>
              <w:t xml:space="preserve">3,0</w:t>
            </w:r>
          </w:p>
        </w:tc>
        <w:tc>
          <w:tcPr>
            <w:tcW w:w="760" w:type="dxa"/>
            <w:vAlign w:val="center"/>
          </w:tcPr>
          <w:p>
            <w:pPr>
              <w:spacing w:before="20" w:after="20"/>
              <w:jc w:val="right"/>
            </w:pPr>
            <w:r>
              <w:rPr>
                <w:sz w:val="14"/>
                <w:szCs w:val="14"/>
              </w:rPr>
              <w:t xml:space="preserve">4,4</w:t>
            </w:r>
          </w:p>
        </w:tc>
        <w:tc>
          <w:tcPr>
            <w:tcW w:w="760" w:type="dxa"/>
            <w:vAlign w:val="center"/>
          </w:tcPr>
          <w:p>
            <w:pPr>
              <w:spacing w:before="20" w:after="20"/>
              <w:jc w:val="right"/>
            </w:pPr>
            <w:r>
              <w:rPr>
                <w:sz w:val="14"/>
                <w:szCs w:val="14"/>
              </w:rPr>
              <w:t xml:space="preserve">6,4</w:t>
            </w:r>
          </w:p>
        </w:tc>
        <w:tc>
          <w:tcPr>
            <w:tcW w:w="760" w:type="dxa"/>
            <w:vAlign w:val="center"/>
          </w:tcPr>
          <w:p>
            <w:pPr>
              <w:spacing w:before="20" w:after="20"/>
              <w:jc w:val="right"/>
            </w:pPr>
            <w:r>
              <w:rPr>
                <w:sz w:val="14"/>
                <w:szCs w:val="14"/>
              </w:rPr>
              <w:t xml:space="preserve">2,8</w:t>
            </w:r>
          </w:p>
        </w:tc>
      </w:tr>
      <w:tr>
        <w:trPr>
          <w:cantSplit/>
        </w:trPr>
        <w:tc>
          <w:tcPr>
            <w:tcW w:w="1700" w:type="dxa"/>
            <w:shd w:val="clear" w:color="auto" w:fill="F2F4F7"/>
            <w:vAlign w:val="center"/>
          </w:tcPr>
          <w:p>
            <w:pPr>
              <w:spacing w:before="20" w:after="20"/>
              <w:jc w:val="left"/>
            </w:pPr>
            <w:r>
              <w:rPr>
                <w:b/>
                <w:sz w:val="14"/>
                <w:szCs w:val="14"/>
              </w:rPr>
              <w:t xml:space="preserve">Honduras</w:t>
            </w:r>
          </w:p>
        </w:tc>
        <w:tc>
          <w:tcPr>
            <w:tcW w:w="760" w:type="dxa"/>
            <w:shd w:val="clear" w:color="auto" w:fill="F2F4F7"/>
            <w:vAlign w:val="center"/>
          </w:tcPr>
          <w:p>
            <w:pPr>
              <w:spacing w:before="20" w:after="20"/>
              <w:jc w:val="right"/>
            </w:pPr>
            <w:r>
              <w:rPr>
                <w:sz w:val="14"/>
                <w:szCs w:val="14"/>
              </w:rPr>
              <w:t xml:space="preserve">0,7</w:t>
            </w:r>
          </w:p>
        </w:tc>
        <w:tc>
          <w:tcPr>
            <w:tcW w:w="760" w:type="dxa"/>
            <w:shd w:val="clear" w:color="auto" w:fill="F2F4F7"/>
            <w:vAlign w:val="center"/>
          </w:tcPr>
          <w:p>
            <w:pPr>
              <w:spacing w:before="20" w:after="20"/>
              <w:jc w:val="right"/>
            </w:pPr>
            <w:r>
              <w:rPr>
                <w:sz w:val="14"/>
                <w:szCs w:val="14"/>
              </w:rPr>
              <w:t xml:space="preserve">1,6</w:t>
            </w:r>
          </w:p>
        </w:tc>
        <w:tc>
          <w:tcPr>
            <w:tcW w:w="760" w:type="dxa"/>
            <w:shd w:val="clear" w:color="auto" w:fill="F2F4F7"/>
            <w:vAlign w:val="center"/>
          </w:tcPr>
          <w:p>
            <w:pPr>
              <w:spacing w:before="20" w:after="20"/>
              <w:jc w:val="right"/>
            </w:pPr>
            <w:r>
              <w:rPr>
                <w:sz w:val="14"/>
                <w:szCs w:val="14"/>
              </w:rPr>
              <w:t xml:space="preserve">3,0</w:t>
            </w:r>
          </w:p>
        </w:tc>
        <w:tc>
          <w:tcPr>
            <w:tcW w:w="760" w:type="dxa"/>
            <w:shd w:val="clear" w:color="auto" w:fill="F2F4F7"/>
            <w:vAlign w:val="center"/>
          </w:tcPr>
          <w:p>
            <w:pPr>
              <w:spacing w:before="20" w:after="20"/>
              <w:jc w:val="right"/>
            </w:pPr>
            <w:r>
              <w:rPr>
                <w:sz w:val="14"/>
                <w:szCs w:val="14"/>
              </w:rPr>
              <w:t xml:space="preserve">7,1</w:t>
            </w:r>
          </w:p>
        </w:tc>
        <w:tc>
          <w:tcPr>
            <w:tcW w:w="760" w:type="dxa"/>
            <w:shd w:val="clear" w:color="auto" w:fill="F2F4F7"/>
            <w:vAlign w:val="center"/>
          </w:tcPr>
          <w:p>
            <w:pPr>
              <w:spacing w:before="20" w:after="20"/>
              <w:jc w:val="right"/>
            </w:pPr>
            <w:r>
              <w:rPr>
                <w:sz w:val="14"/>
                <w:szCs w:val="14"/>
              </w:rPr>
              <w:t xml:space="preserve">6,7</w:t>
            </w:r>
          </w:p>
        </w:tc>
        <w:tc>
          <w:tcPr>
            <w:tcW w:w="760" w:type="dxa"/>
            <w:shd w:val="clear" w:color="auto" w:fill="F2F4F7"/>
            <w:vAlign w:val="center"/>
          </w:tcPr>
          <w:p>
            <w:pPr>
              <w:spacing w:before="20" w:after="20"/>
              <w:jc w:val="right"/>
            </w:pPr>
            <w:r>
              <w:rPr>
                <w:sz w:val="14"/>
                <w:szCs w:val="14"/>
              </w:rPr>
              <w:t xml:space="preserve">5,9</w:t>
            </w:r>
          </w:p>
        </w:tc>
        <w:tc>
          <w:tcPr>
            <w:tcW w:w="760" w:type="dxa"/>
            <w:shd w:val="clear" w:color="auto" w:fill="F2F4F7"/>
            <w:vAlign w:val="center"/>
          </w:tcPr>
          <w:p>
            <w:pPr>
              <w:spacing w:before="20" w:after="20"/>
              <w:jc w:val="right"/>
            </w:pPr>
            <w:r>
              <w:rPr>
                <w:sz w:val="14"/>
                <w:szCs w:val="14"/>
              </w:rPr>
              <w:t xml:space="preserve">4,0</w:t>
            </w:r>
          </w:p>
        </w:tc>
        <w:tc>
          <w:tcPr>
            <w:tcW w:w="760" w:type="dxa"/>
            <w:shd w:val="clear" w:color="auto" w:fill="F2F4F7"/>
            <w:vAlign w:val="center"/>
          </w:tcPr>
          <w:p>
            <w:pPr>
              <w:spacing w:before="20" w:after="20"/>
              <w:jc w:val="right"/>
            </w:pPr>
            <w:r>
              <w:rPr>
                <w:sz w:val="14"/>
                <w:szCs w:val="14"/>
              </w:rPr>
              <w:t xml:space="preserve">4,3</w:t>
            </w:r>
          </w:p>
        </w:tc>
        <w:tc>
          <w:tcPr>
            <w:tcW w:w="760" w:type="dxa"/>
            <w:shd w:val="clear" w:color="auto" w:fill="F2F4F7"/>
            <w:vAlign w:val="center"/>
          </w:tcPr>
          <w:p>
            <w:pPr>
              <w:spacing w:before="20" w:after="20"/>
              <w:jc w:val="right"/>
            </w:pPr>
            <w:r>
              <w:rPr>
                <w:sz w:val="14"/>
                <w:szCs w:val="14"/>
              </w:rPr>
              <w:t xml:space="preserve">2,2</w:t>
            </w:r>
          </w:p>
        </w:tc>
        <w:tc>
          <w:tcPr>
            <w:tcW w:w="760" w:type="dxa"/>
            <w:shd w:val="clear" w:color="auto" w:fill="F2F4F7"/>
            <w:vAlign w:val="center"/>
          </w:tcPr>
          <w:p>
            <w:pPr>
              <w:spacing w:before="20" w:after="20"/>
              <w:jc w:val="right"/>
            </w:pPr>
            <w:r>
              <w:rPr>
                <w:sz w:val="14"/>
                <w:szCs w:val="14"/>
              </w:rPr>
              <w:t xml:space="preserve">2,4</w:t>
            </w:r>
          </w:p>
        </w:tc>
        <w:tc>
          <w:tcPr>
            <w:tcW w:w="760" w:type="dxa"/>
            <w:shd w:val="clear" w:color="auto" w:fill="F2F4F7"/>
            <w:vAlign w:val="center"/>
          </w:tcPr>
          <w:p>
            <w:pPr>
              <w:spacing w:before="20" w:after="20"/>
              <w:jc w:val="right"/>
            </w:pPr>
            <w:r>
              <w:rPr>
                <w:sz w:val="14"/>
                <w:szCs w:val="14"/>
              </w:rPr>
              <w:t xml:space="preserve">4,2</w:t>
            </w:r>
          </w:p>
        </w:tc>
        <w:tc>
          <w:tcPr>
            <w:tcW w:w="760" w:type="dxa"/>
            <w:shd w:val="clear" w:color="auto" w:fill="F2F4F7"/>
            <w:vAlign w:val="center"/>
          </w:tcPr>
          <w:p>
            <w:pPr>
              <w:spacing w:before="20" w:after="20"/>
              <w:jc w:val="right"/>
            </w:pPr>
            <w:r>
              <w:rPr>
                <w:sz w:val="14"/>
                <w:szCs w:val="14"/>
              </w:rPr>
              <w:t xml:space="preserve">1,3</w:t>
            </w:r>
          </w:p>
        </w:tc>
        <w:tc>
          <w:tcPr>
            <w:tcW w:w="760" w:type="dxa"/>
            <w:shd w:val="clear" w:color="auto" w:fill="F2F4F7"/>
            <w:vAlign w:val="center"/>
          </w:tcPr>
          <w:p>
            <w:pPr>
              <w:spacing w:before="20" w:after="20"/>
              <w:jc w:val="right"/>
            </w:pPr>
            <w:r>
              <w:rPr>
                <w:sz w:val="14"/>
                <w:szCs w:val="14"/>
              </w:rPr>
              <w:t xml:space="preserve">2,0</w:t>
            </w:r>
          </w:p>
        </w:tc>
        <w:tc>
          <w:tcPr>
            <w:tcW w:w="760" w:type="dxa"/>
            <w:shd w:val="clear" w:color="auto" w:fill="F2F4F7"/>
            <w:vAlign w:val="center"/>
          </w:tcPr>
          <w:p>
            <w:pPr>
              <w:spacing w:before="20" w:after="20"/>
              <w:jc w:val="right"/>
            </w:pPr>
            <w:r>
              <w:rPr>
                <w:sz w:val="14"/>
                <w:szCs w:val="14"/>
              </w:rPr>
              <w:t xml:space="preserve">2,8</w:t>
            </w:r>
          </w:p>
        </w:tc>
        <w:tc>
          <w:tcPr>
            <w:tcW w:w="760" w:type="dxa"/>
            <w:shd w:val="clear" w:color="auto" w:fill="F2F4F7"/>
            <w:vAlign w:val="center"/>
          </w:tcPr>
          <w:p>
            <w:pPr>
              <w:spacing w:before="20" w:after="20"/>
              <w:jc w:val="right"/>
            </w:pPr>
            <w:r>
              <w:rPr>
                <w:sz w:val="14"/>
                <w:szCs w:val="14"/>
              </w:rPr>
              <w:t xml:space="preserve">3,4</w:t>
            </w:r>
          </w:p>
        </w:tc>
        <w:tc>
          <w:tcPr>
            <w:tcW w:w="760" w:type="dxa"/>
            <w:shd w:val="clear" w:color="auto" w:fill="F2F4F7"/>
            <w:vAlign w:val="center"/>
          </w:tcPr>
          <w:p>
            <w:pPr>
              <w:spacing w:before="20" w:after="20"/>
              <w:jc w:val="right"/>
            </w:pPr>
            <w:r>
              <w:rPr>
                <w:sz w:val="14"/>
                <w:szCs w:val="14"/>
              </w:rPr>
              <w:t xml:space="preserve">8,0</w:t>
            </w:r>
          </w:p>
        </w:tc>
        <w:tc>
          <w:tcPr>
            <w:tcW w:w="760" w:type="dxa"/>
            <w:shd w:val="clear" w:color="auto" w:fill="F2F4F7"/>
            <w:vAlign w:val="center"/>
          </w:tcPr>
          <w:p>
            <w:pPr>
              <w:spacing w:before="20" w:after="20"/>
              <w:jc w:val="right"/>
            </w:pPr>
            <w:r>
              <w:rPr>
                <w:sz w:val="14"/>
                <w:szCs w:val="14"/>
              </w:rPr>
              <w:t xml:space="preserve">11,9</w:t>
            </w:r>
          </w:p>
        </w:tc>
      </w:tr>
      <w:tr>
        <w:trPr>
          <w:cantSplit/>
        </w:trPr>
        <w:tc>
          <w:tcPr>
            <w:tcW w:w="1700" w:type="dxa"/>
            <w:vAlign w:val="center"/>
          </w:tcPr>
          <w:p>
            <w:pPr>
              <w:spacing w:before="20" w:after="20"/>
              <w:jc w:val="left"/>
            </w:pPr>
            <w:r>
              <w:rPr>
                <w:b/>
                <w:sz w:val="14"/>
                <w:szCs w:val="14"/>
              </w:rPr>
              <w:t xml:space="preserve">Pérou</w:t>
            </w:r>
          </w:p>
        </w:tc>
        <w:tc>
          <w:tcPr>
            <w:tcW w:w="760" w:type="dxa"/>
            <w:vAlign w:val="center"/>
          </w:tcPr>
          <w:p>
            <w:pPr>
              <w:spacing w:before="20" w:after="20"/>
              <w:jc w:val="right"/>
            </w:pPr>
            <w:r>
              <w:rPr>
                <w:sz w:val="14"/>
                <w:szCs w:val="14"/>
              </w:rPr>
              <w:t xml:space="preserve">3,1</w:t>
            </w:r>
          </w:p>
        </w:tc>
        <w:tc>
          <w:tcPr>
            <w:tcW w:w="760" w:type="dxa"/>
            <w:vAlign w:val="center"/>
          </w:tcPr>
          <w:p>
            <w:pPr>
              <w:spacing w:before="20" w:after="20"/>
              <w:jc w:val="right"/>
            </w:pPr>
            <w:r>
              <w:rPr>
                <w:sz w:val="14"/>
                <w:szCs w:val="14"/>
              </w:rPr>
              <w:t xml:space="preserve">0,3</w:t>
            </w:r>
          </w:p>
        </w:tc>
        <w:tc>
          <w:tcPr>
            <w:tcW w:w="760" w:type="dxa"/>
            <w:vAlign w:val="center"/>
          </w:tcPr>
          <w:p>
            <w:pPr>
              <w:spacing w:before="20" w:after="20"/>
              <w:jc w:val="right"/>
            </w:pPr>
            <w:r>
              <w:rPr>
                <w:sz w:val="14"/>
                <w:szCs w:val="14"/>
              </w:rPr>
              <w:t xml:space="preserve">1,0</w:t>
            </w:r>
          </w:p>
        </w:tc>
        <w:tc>
          <w:tcPr>
            <w:tcW w:w="760" w:type="dxa"/>
            <w:vAlign w:val="center"/>
          </w:tcPr>
          <w:p>
            <w:pPr>
              <w:spacing w:before="20" w:after="20"/>
              <w:jc w:val="right"/>
            </w:pPr>
            <w:r>
              <w:rPr>
                <w:sz w:val="14"/>
                <w:szCs w:val="14"/>
              </w:rPr>
              <w:t xml:space="preserve">0,6</w:t>
            </w:r>
          </w:p>
        </w:tc>
        <w:tc>
          <w:tcPr>
            <w:tcW w:w="760" w:type="dxa"/>
            <w:vAlign w:val="center"/>
          </w:tcPr>
          <w:p>
            <w:pPr>
              <w:spacing w:before="20" w:after="20"/>
              <w:jc w:val="right"/>
            </w:pPr>
            <w:r>
              <w:rPr>
                <w:sz w:val="14"/>
                <w:szCs w:val="14"/>
              </w:rPr>
              <w:t xml:space="preserve">0,1</w:t>
            </w:r>
          </w:p>
        </w:tc>
        <w:tc>
          <w:tcPr>
            <w:tcW w:w="760" w:type="dxa"/>
            <w:vAlign w:val="center"/>
          </w:tcPr>
          <w:p>
            <w:pPr>
              <w:spacing w:before="20" w:after="20"/>
              <w:jc w:val="right"/>
            </w:pPr>
            <w:r>
              <w:rPr>
                <w:sz w:val="14"/>
                <w:szCs w:val="14"/>
              </w:rPr>
              <w:t xml:space="preserve">1,3</w:t>
            </w:r>
          </w:p>
        </w:tc>
        <w:tc>
          <w:tcPr>
            <w:tcW w:w="760" w:type="dxa"/>
            <w:vAlign w:val="center"/>
          </w:tcPr>
          <w:p>
            <w:pPr>
              <w:spacing w:before="20" w:after="20"/>
              <w:jc w:val="right"/>
            </w:pPr>
            <w:r>
              <w:rPr>
                <w:sz w:val="14"/>
                <w:szCs w:val="14"/>
              </w:rPr>
              <w:t xml:space="preserve">1,8</w:t>
            </w:r>
          </w:p>
        </w:tc>
        <w:tc>
          <w:tcPr>
            <w:tcW w:w="760" w:type="dxa"/>
            <w:vAlign w:val="center"/>
          </w:tcPr>
          <w:p>
            <w:pPr>
              <w:spacing w:before="20" w:after="20"/>
              <w:jc w:val="right"/>
            </w:pPr>
            <w:r>
              <w:rPr>
                <w:sz w:val="14"/>
                <w:szCs w:val="14"/>
              </w:rPr>
              <w:t xml:space="preserve">1,9</w:t>
            </w:r>
          </w:p>
        </w:tc>
        <w:tc>
          <w:tcPr>
            <w:tcW w:w="760" w:type="dxa"/>
            <w:vAlign w:val="center"/>
          </w:tcPr>
          <w:p>
            <w:pPr>
              <w:spacing w:before="20" w:after="20"/>
              <w:jc w:val="right"/>
            </w:pPr>
            <w:r>
              <w:rPr>
                <w:sz w:val="14"/>
                <w:szCs w:val="14"/>
              </w:rPr>
              <w:t xml:space="preserve">0,3</w:t>
            </w:r>
          </w:p>
        </w:tc>
        <w:tc>
          <w:tcPr>
            <w:tcW w:w="760" w:type="dxa"/>
            <w:vAlign w:val="center"/>
          </w:tcPr>
          <w:p>
            <w:pPr>
              <w:spacing w:before="20" w:after="20"/>
              <w:jc w:val="right"/>
            </w:pPr>
            <w:r>
              <w:rPr>
                <w:sz w:val="14"/>
                <w:szCs w:val="14"/>
              </w:rPr>
              <w:t xml:space="preserve">3,2</w:t>
            </w:r>
          </w:p>
        </w:tc>
        <w:tc>
          <w:tcPr>
            <w:tcW w:w="760" w:type="dxa"/>
            <w:vAlign w:val="center"/>
          </w:tcPr>
          <w:p>
            <w:pPr>
              <w:spacing w:before="20" w:after="20"/>
              <w:jc w:val="right"/>
            </w:pPr>
            <w:r>
              <w:rPr>
                <w:sz w:val="14"/>
                <w:szCs w:val="14"/>
              </w:rPr>
              <w:t xml:space="preserve">2,4</w:t>
            </w:r>
          </w:p>
        </w:tc>
        <w:tc>
          <w:tcPr>
            <w:tcW w:w="760" w:type="dxa"/>
            <w:vAlign w:val="center"/>
          </w:tcPr>
          <w:p>
            <w:pPr>
              <w:spacing w:before="20" w:after="20"/>
              <w:jc w:val="right"/>
            </w:pPr>
            <w:r>
              <w:rPr>
                <w:sz w:val="14"/>
                <w:szCs w:val="14"/>
              </w:rPr>
              <w:t xml:space="preserve">2,2</w:t>
            </w:r>
          </w:p>
        </w:tc>
        <w:tc>
          <w:tcPr>
            <w:tcW w:w="760" w:type="dxa"/>
            <w:vAlign w:val="center"/>
          </w:tcPr>
          <w:p>
            <w:pPr>
              <w:spacing w:before="20" w:after="20"/>
              <w:jc w:val="right"/>
            </w:pPr>
            <w:r>
              <w:rPr>
                <w:sz w:val="14"/>
                <w:szCs w:val="14"/>
              </w:rPr>
              <w:t xml:space="preserve">2,7</w:t>
            </w:r>
          </w:p>
        </w:tc>
        <w:tc>
          <w:tcPr>
            <w:tcW w:w="760" w:type="dxa"/>
            <w:vAlign w:val="center"/>
          </w:tcPr>
          <w:p>
            <w:pPr>
              <w:spacing w:before="20" w:after="20"/>
              <w:jc w:val="right"/>
            </w:pPr>
            <w:r>
              <w:rPr>
                <w:sz w:val="14"/>
                <w:szCs w:val="14"/>
              </w:rPr>
              <w:t xml:space="preserve">0,7</w:t>
            </w:r>
          </w:p>
        </w:tc>
        <w:tc>
          <w:tcPr>
            <w:tcW w:w="760" w:type="dxa"/>
            <w:vAlign w:val="center"/>
          </w:tcPr>
          <w:p>
            <w:pPr>
              <w:spacing w:before="20" w:after="20"/>
              <w:jc w:val="right"/>
            </w:pPr>
            <w:r>
              <w:rPr>
                <w:sz w:val="14"/>
                <w:szCs w:val="14"/>
              </w:rPr>
              <w:t xml:space="preserve">0,5</w:t>
            </w:r>
          </w:p>
        </w:tc>
        <w:tc>
          <w:tcPr>
            <w:tcW w:w="760" w:type="dxa"/>
            <w:vAlign w:val="center"/>
          </w:tcPr>
          <w:p>
            <w:pPr>
              <w:spacing w:before="20" w:after="20"/>
              <w:jc w:val="right"/>
            </w:pPr>
            <w:r>
              <w:rPr>
                <w:sz w:val="14"/>
                <w:szCs w:val="14"/>
              </w:rPr>
              <w:t xml:space="preserve">0,4</w:t>
            </w:r>
          </w:p>
        </w:tc>
        <w:tc>
          <w:tcPr>
            <w:tcW w:w="760" w:type="dxa"/>
            <w:vAlign w:val="center"/>
          </w:tcPr>
          <w:p>
            <w:pPr>
              <w:spacing w:before="20" w:after="20"/>
              <w:jc w:val="right"/>
            </w:pPr>
            <w:r>
              <w:rPr>
                <w:sz w:val="14"/>
                <w:szCs w:val="14"/>
              </w:rPr>
              <w:t xml:space="preserve">0,5</w:t>
            </w:r>
          </w:p>
        </w:tc>
      </w:tr>
      <w:tr>
        <w:trPr>
          <w:cantSplit/>
        </w:trPr>
        <w:tc>
          <w:tcPr>
            <w:tcW w:w="1700" w:type="dxa"/>
            <w:shd w:val="clear" w:color="auto" w:fill="F2F4F7"/>
            <w:vAlign w:val="center"/>
          </w:tcPr>
          <w:p>
            <w:pPr>
              <w:spacing w:before="20" w:after="20"/>
              <w:jc w:val="left"/>
            </w:pPr>
            <w:r>
              <w:rPr>
                <w:b/>
                <w:sz w:val="14"/>
                <w:szCs w:val="14"/>
              </w:rPr>
              <w:t xml:space="preserve">Mexique</w:t>
            </w:r>
          </w:p>
        </w:tc>
        <w:tc>
          <w:tcPr>
            <w:tcW w:w="760" w:type="dxa"/>
            <w:shd w:val="clear" w:color="auto" w:fill="F2F4F7"/>
            <w:vAlign w:val="center"/>
          </w:tcPr>
          <w:p>
            <w:pPr>
              <w:spacing w:before="20" w:after="20"/>
              <w:jc w:val="right"/>
            </w:pPr>
            <w:r>
              <w:rPr>
                <w:sz w:val="14"/>
                <w:szCs w:val="14"/>
              </w:rPr>
              <w:t xml:space="preserve">1,7</w:t>
            </w:r>
          </w:p>
        </w:tc>
        <w:tc>
          <w:tcPr>
            <w:tcW w:w="760" w:type="dxa"/>
            <w:shd w:val="clear" w:color="auto" w:fill="F2F4F7"/>
            <w:vAlign w:val="center"/>
          </w:tcPr>
          <w:p>
            <w:pPr>
              <w:spacing w:before="20" w:after="20"/>
              <w:jc w:val="right"/>
            </w:pPr>
            <w:r>
              <w:rPr>
                <w:sz w:val="14"/>
                <w:szCs w:val="14"/>
              </w:rPr>
              <w:t xml:space="preserve">1,1</w:t>
            </w:r>
          </w:p>
        </w:tc>
        <w:tc>
          <w:tcPr>
            <w:tcW w:w="760" w:type="dxa"/>
            <w:shd w:val="clear" w:color="auto" w:fill="F2F4F7"/>
            <w:vAlign w:val="center"/>
          </w:tcPr>
          <w:p>
            <w:pPr>
              <w:spacing w:before="20" w:after="20"/>
              <w:jc w:val="right"/>
            </w:pPr>
            <w:r>
              <w:rPr>
                <w:sz w:val="14"/>
                <w:szCs w:val="14"/>
              </w:rPr>
              <w:t xml:space="preserve">1,1</w:t>
            </w:r>
          </w:p>
        </w:tc>
        <w:tc>
          <w:tcPr>
            <w:tcW w:w="760" w:type="dxa"/>
            <w:shd w:val="clear" w:color="auto" w:fill="F2F4F7"/>
            <w:vAlign w:val="center"/>
          </w:tcPr>
          <w:p>
            <w:pPr>
              <w:spacing w:before="20" w:after="20"/>
              <w:jc w:val="right"/>
            </w:pPr>
            <w:r>
              <w:rPr>
                <w:sz w:val="14"/>
                <w:szCs w:val="14"/>
              </w:rPr>
              <w:t xml:space="preserve">3,1</w:t>
            </w:r>
          </w:p>
        </w:tc>
        <w:tc>
          <w:tcPr>
            <w:tcW w:w="760" w:type="dxa"/>
            <w:shd w:val="clear" w:color="auto" w:fill="F2F4F7"/>
            <w:vAlign w:val="center"/>
          </w:tcPr>
          <w:p>
            <w:pPr>
              <w:spacing w:before="20" w:after="20"/>
              <w:jc w:val="right"/>
            </w:pPr>
            <w:r>
              <w:rPr>
                <w:sz w:val="14"/>
                <w:szCs w:val="14"/>
              </w:rPr>
              <w:t xml:space="preserve">2,6</w:t>
            </w:r>
          </w:p>
        </w:tc>
        <w:tc>
          <w:tcPr>
            <w:tcW w:w="760" w:type="dxa"/>
            <w:shd w:val="clear" w:color="auto" w:fill="F2F4F7"/>
            <w:vAlign w:val="center"/>
          </w:tcPr>
          <w:p>
            <w:pPr>
              <w:spacing w:before="20" w:after="20"/>
              <w:jc w:val="right"/>
            </w:pPr>
            <w:r>
              <w:rPr>
                <w:sz w:val="14"/>
                <w:szCs w:val="14"/>
              </w:rPr>
              <w:t xml:space="preserve">4,5</w:t>
            </w:r>
          </w:p>
        </w:tc>
        <w:tc>
          <w:tcPr>
            <w:tcW w:w="760" w:type="dxa"/>
            <w:shd w:val="clear" w:color="auto" w:fill="F2F4F7"/>
            <w:vAlign w:val="center"/>
          </w:tcPr>
          <w:p>
            <w:pPr>
              <w:spacing w:before="20" w:after="20"/>
              <w:jc w:val="right"/>
            </w:pPr>
            <w:r>
              <w:rPr>
                <w:sz w:val="14"/>
                <w:szCs w:val="14"/>
              </w:rPr>
              <w:t xml:space="preserve">3,1</w:t>
            </w:r>
          </w:p>
        </w:tc>
        <w:tc>
          <w:tcPr>
            <w:tcW w:w="760" w:type="dxa"/>
            <w:shd w:val="clear" w:color="auto" w:fill="F2F4F7"/>
            <w:vAlign w:val="center"/>
          </w:tcPr>
          <w:p>
            <w:pPr>
              <w:spacing w:before="20" w:after="20"/>
              <w:jc w:val="right"/>
            </w:pPr>
            <w:r>
              <w:rPr>
                <w:sz w:val="14"/>
                <w:szCs w:val="14"/>
              </w:rPr>
              <w:t xml:space="preserve">3,3</w:t>
            </w:r>
          </w:p>
        </w:tc>
        <w:tc>
          <w:tcPr>
            <w:tcW w:w="760" w:type="dxa"/>
            <w:shd w:val="clear" w:color="auto" w:fill="F2F4F7"/>
            <w:vAlign w:val="center"/>
          </w:tcPr>
          <w:p>
            <w:pPr>
              <w:spacing w:before="20" w:after="20"/>
              <w:jc w:val="right"/>
            </w:pPr>
            <w:r>
              <w:rPr>
                <w:sz w:val="14"/>
                <w:szCs w:val="14"/>
              </w:rPr>
              <w:t xml:space="preserve">0,5</w:t>
            </w:r>
          </w:p>
        </w:tc>
        <w:tc>
          <w:tcPr>
            <w:tcW w:w="760" w:type="dxa"/>
            <w:shd w:val="clear" w:color="auto" w:fill="F2F4F7"/>
            <w:vAlign w:val="center"/>
          </w:tcPr>
          <w:p>
            <w:pPr>
              <w:spacing w:before="20" w:after="20"/>
              <w:jc w:val="right"/>
            </w:pPr>
            <w:r>
              <w:rPr>
                <w:sz w:val="14"/>
                <w:szCs w:val="14"/>
              </w:rPr>
              <w:t xml:space="preserve">1,8</w:t>
            </w:r>
          </w:p>
        </w:tc>
        <w:tc>
          <w:tcPr>
            <w:tcW w:w="760" w:type="dxa"/>
            <w:shd w:val="clear" w:color="auto" w:fill="F2F4F7"/>
            <w:vAlign w:val="center"/>
          </w:tcPr>
          <w:p>
            <w:pPr>
              <w:spacing w:before="20" w:after="20"/>
              <w:jc w:val="right"/>
            </w:pPr>
            <w:r>
              <w:rPr>
                <w:sz w:val="14"/>
                <w:szCs w:val="14"/>
              </w:rPr>
              <w:t xml:space="preserve">0,3</w:t>
            </w:r>
          </w:p>
        </w:tc>
        <w:tc>
          <w:tcPr>
            <w:tcW w:w="760" w:type="dxa"/>
            <w:shd w:val="clear" w:color="auto" w:fill="F2F4F7"/>
            <w:vAlign w:val="center"/>
          </w:tcPr>
          <w:p>
            <w:pPr>
              <w:spacing w:before="20" w:after="20"/>
              <w:jc w:val="right"/>
            </w:pPr>
            <w:r>
              <w:rPr>
                <w:sz w:val="14"/>
                <w:szCs w:val="14"/>
              </w:rPr>
              <w:t xml:space="preserve">1,7</w:t>
            </w:r>
          </w:p>
        </w:tc>
        <w:tc>
          <w:tcPr>
            <w:tcW w:w="760" w:type="dxa"/>
            <w:shd w:val="clear" w:color="auto" w:fill="F2F4F7"/>
            <w:vAlign w:val="center"/>
          </w:tcPr>
          <w:p>
            <w:pPr>
              <w:spacing w:before="20" w:after="20"/>
              <w:jc w:val="right"/>
            </w:pPr>
            <w:r>
              <w:rPr>
                <w:sz w:val="14"/>
                <w:szCs w:val="14"/>
              </w:rPr>
              <w:t xml:space="preserve">1,4</w:t>
            </w:r>
          </w:p>
        </w:tc>
        <w:tc>
          <w:tcPr>
            <w:tcW w:w="760" w:type="dxa"/>
            <w:shd w:val="clear" w:color="auto" w:fill="F2F4F7"/>
            <w:vAlign w:val="center"/>
          </w:tcPr>
          <w:p>
            <w:pPr>
              <w:spacing w:before="20" w:after="20"/>
              <w:jc w:val="right"/>
            </w:pPr>
            <w:r>
              <w:rPr>
                <w:sz w:val="14"/>
                <w:szCs w:val="14"/>
              </w:rPr>
              <w:t xml:space="preserve">0,3</w:t>
            </w:r>
          </w:p>
        </w:tc>
        <w:tc>
          <w:tcPr>
            <w:tcW w:w="760" w:type="dxa"/>
            <w:shd w:val="clear" w:color="auto" w:fill="F2F4F7"/>
            <w:vAlign w:val="center"/>
          </w:tcPr>
          <w:p>
            <w:pPr>
              <w:spacing w:before="20" w:after="20"/>
              <w:jc w:val="right"/>
            </w:pPr>
            <w:r>
              <w:rPr>
                <w:sz w:val="14"/>
                <w:szCs w:val="14"/>
              </w:rPr>
              <w:t xml:space="preserve">0,3</w:t>
            </w:r>
          </w:p>
        </w:tc>
        <w:tc>
          <w:tcPr>
            <w:tcW w:w="760" w:type="dxa"/>
            <w:shd w:val="clear" w:color="auto" w:fill="F2F4F7"/>
            <w:vAlign w:val="center"/>
          </w:tcPr>
          <w:p>
            <w:pPr>
              <w:spacing w:before="20" w:after="20"/>
              <w:jc w:val="right"/>
            </w:pPr>
            <w:r>
              <w:rPr>
                <w:sz w:val="14"/>
                <w:szCs w:val="14"/>
              </w:rPr>
              <w:t xml:space="preserve">0,3</w:t>
            </w:r>
          </w:p>
        </w:tc>
        <w:tc>
          <w:tcPr>
            <w:tcW w:w="760" w:type="dxa"/>
            <w:shd w:val="clear" w:color="auto" w:fill="F2F4F7"/>
            <w:vAlign w:val="center"/>
          </w:tcPr>
          <w:p>
            <w:pPr>
              <w:spacing w:before="20" w:after="20"/>
              <w:jc w:val="right"/>
            </w:pPr>
            <w:r>
              <w:rPr>
                <w:sz w:val="14"/>
                <w:szCs w:val="14"/>
              </w:rPr>
              <w:t xml:space="preserve">0,1</w:t>
            </w:r>
          </w:p>
        </w:tc>
      </w:tr>
      <w:tr>
        <w:trPr>
          <w:cantSplit/>
        </w:trPr>
        <w:tc>
          <w:tcPr>
            <w:tcW w:w="1700" w:type="dxa"/>
            <w:vAlign w:val="center"/>
          </w:tcPr>
          <w:p>
            <w:pPr>
              <w:spacing w:before="20" w:after="20"/>
              <w:jc w:val="left"/>
            </w:pPr>
            <w:r>
              <w:rPr>
                <w:b/>
                <w:sz w:val="14"/>
                <w:szCs w:val="14"/>
              </w:rPr>
              <w:t xml:space="preserve">Guatemala</w:t>
            </w:r>
          </w:p>
        </w:tc>
        <w:tc>
          <w:tcPr>
            <w:tcW w:w="760" w:type="dxa"/>
            <w:vAlign w:val="center"/>
          </w:tcPr>
          <w:p>
            <w:pPr>
              <w:spacing w:before="20" w:after="20"/>
              <w:jc w:val="right"/>
            </w:pPr>
            <w:r>
              <w:rPr>
                <w:sz w:val="14"/>
                <w:szCs w:val="14"/>
              </w:rPr>
              <w:t xml:space="preserve">5,7</w:t>
            </w:r>
          </w:p>
        </w:tc>
        <w:tc>
          <w:tcPr>
            <w:tcW w:w="760" w:type="dxa"/>
            <w:vAlign w:val="center"/>
          </w:tcPr>
          <w:p>
            <w:pPr>
              <w:spacing w:before="20" w:after="20"/>
              <w:jc w:val="right"/>
            </w:pPr>
            <w:r>
              <w:rPr>
                <w:sz w:val="14"/>
                <w:szCs w:val="14"/>
              </w:rPr>
              <w:t xml:space="preserve">8,7</w:t>
            </w:r>
          </w:p>
        </w:tc>
        <w:tc>
          <w:tcPr>
            <w:tcW w:w="760" w:type="dxa"/>
            <w:vAlign w:val="center"/>
          </w:tcPr>
          <w:p>
            <w:pPr>
              <w:spacing w:before="20" w:after="20"/>
              <w:jc w:val="right"/>
            </w:pPr>
            <w:r>
              <w:rPr>
                <w:sz w:val="14"/>
                <w:szCs w:val="14"/>
              </w:rPr>
              <w:t xml:space="preserve">4,9</w:t>
            </w:r>
          </w:p>
        </w:tc>
        <w:tc>
          <w:tcPr>
            <w:tcW w:w="760" w:type="dxa"/>
            <w:vAlign w:val="center"/>
          </w:tcPr>
          <w:p>
            <w:pPr>
              <w:spacing w:before="20" w:after="20"/>
              <w:jc w:val="right"/>
            </w:pPr>
            <w:r>
              <w:rPr>
                <w:sz w:val="14"/>
                <w:szCs w:val="14"/>
              </w:rPr>
              <w:t xml:space="preserve">5,8</w:t>
            </w:r>
          </w:p>
        </w:tc>
        <w:tc>
          <w:tcPr>
            <w:tcW w:w="760" w:type="dxa"/>
            <w:vAlign w:val="center"/>
          </w:tcPr>
          <w:p>
            <w:pPr>
              <w:spacing w:before="20" w:after="20"/>
              <w:jc w:val="right"/>
            </w:pPr>
            <w:r>
              <w:rPr>
                <w:sz w:val="14"/>
                <w:szCs w:val="14"/>
              </w:rPr>
              <w:t xml:space="preserve">0,4</w:t>
            </w:r>
          </w:p>
        </w:tc>
        <w:tc>
          <w:tcPr>
            <w:tcW w:w="760" w:type="dxa"/>
            <w:vAlign w:val="center"/>
          </w:tcPr>
          <w:p>
            <w:pPr>
              <w:spacing w:before="20" w:after="20"/>
              <w:jc w:val="right"/>
            </w:pPr>
            <w:r>
              <w:rPr>
                <w:sz w:val="14"/>
                <w:szCs w:val="14"/>
              </w:rPr>
              <w:t xml:space="preserve">0,7</w:t>
            </w:r>
          </w:p>
        </w:tc>
        <w:tc>
          <w:tcPr>
            <w:tcW w:w="760" w:type="dxa"/>
            <w:vAlign w:val="center"/>
          </w:tcPr>
          <w:p>
            <w:pPr>
              <w:spacing w:before="20" w:after="20"/>
              <w:jc w:val="right"/>
            </w:pPr>
            <w:r>
              <w:rPr>
                <w:sz w:val="14"/>
                <w:szCs w:val="14"/>
              </w:rPr>
              <w:t xml:space="preserve">1,0</w:t>
            </w:r>
          </w:p>
        </w:tc>
        <w:tc>
          <w:tcPr>
            <w:tcW w:w="760" w:type="dxa"/>
            <w:vAlign w:val="center"/>
          </w:tcPr>
          <w:p>
            <w:pPr>
              <w:spacing w:before="20" w:after="20"/>
              <w:jc w:val="right"/>
            </w:pPr>
            <w:r>
              <w:rPr>
                <w:sz w:val="14"/>
                <w:szCs w:val="14"/>
              </w:rPr>
              <w:t xml:space="preserve">2,7</w:t>
            </w:r>
          </w:p>
        </w:tc>
        <w:tc>
          <w:tcPr>
            <w:tcW w:w="760" w:type="dxa"/>
            <w:vAlign w:val="center"/>
          </w:tcPr>
          <w:p>
            <w:pPr>
              <w:spacing w:before="20" w:after="20"/>
              <w:jc w:val="right"/>
            </w:pPr>
            <w:r>
              <w:rPr>
                <w:sz w:val="14"/>
                <w:szCs w:val="14"/>
              </w:rPr>
              <w:t xml:space="preserve">0,6</w:t>
            </w:r>
          </w:p>
        </w:tc>
        <w:tc>
          <w:tcPr>
            <w:tcW w:w="760" w:type="dxa"/>
            <w:vAlign w:val="center"/>
          </w:tcPr>
          <w:p>
            <w:pPr>
              <w:spacing w:before="20" w:after="20"/>
              <w:jc w:val="right"/>
            </w:pPr>
            <w:r>
              <w:rPr>
                <w:sz w:val="14"/>
                <w:szCs w:val="14"/>
              </w:rPr>
              <w:t xml:space="preserve">3,1</w:t>
            </w:r>
          </w:p>
        </w:tc>
        <w:tc>
          <w:tcPr>
            <w:tcW w:w="760" w:type="dxa"/>
            <w:vAlign w:val="center"/>
          </w:tcPr>
          <w:p>
            <w:pPr>
              <w:spacing w:before="20" w:after="20"/>
              <w:jc w:val="right"/>
            </w:pPr>
            <w:r>
              <w:rPr>
                <w:sz w:val="14"/>
                <w:szCs w:val="14"/>
              </w:rPr>
              <w:t xml:space="preserve">2,6</w:t>
            </w:r>
          </w:p>
        </w:tc>
        <w:tc>
          <w:tcPr>
            <w:tcW w:w="760" w:type="dxa"/>
            <w:vAlign w:val="center"/>
          </w:tcPr>
          <w:p>
            <w:pPr>
              <w:spacing w:before="20" w:after="20"/>
              <w:jc w:val="right"/>
            </w:pPr>
            <w:r>
              <w:rPr>
                <w:sz w:val="14"/>
                <w:szCs w:val="14"/>
              </w:rPr>
              <w:t xml:space="preserve">0,5</w:t>
            </w:r>
          </w:p>
        </w:tc>
        <w:tc>
          <w:tcPr>
            <w:tcW w:w="760" w:type="dxa"/>
            <w:vAlign w:val="center"/>
          </w:tcPr>
          <w:p>
            <w:pPr>
              <w:spacing w:before="20" w:after="20"/>
              <w:jc w:val="right"/>
            </w:pPr>
            <w:r>
              <w:rPr>
                <w:sz w:val="14"/>
                <w:szCs w:val="14"/>
              </w:rPr>
              <w:t xml:space="preserve">0,6</w:t>
            </w:r>
          </w:p>
        </w:tc>
        <w:tc>
          <w:tcPr>
            <w:tcW w:w="760" w:type="dxa"/>
            <w:vAlign w:val="center"/>
          </w:tcPr>
          <w:p>
            <w:pPr>
              <w:spacing w:before="20" w:after="20"/>
              <w:jc w:val="right"/>
            </w:pPr>
            <w:r>
              <w:rPr>
                <w:sz w:val="14"/>
                <w:szCs w:val="14"/>
              </w:rPr>
              <w:t xml:space="preserve">0,4</w:t>
            </w:r>
          </w:p>
        </w:tc>
        <w:tc>
          <w:tcPr>
            <w:tcW w:w="760" w:type="dxa"/>
            <w:vAlign w:val="center"/>
          </w:tcPr>
          <w:p>
            <w:pPr>
              <w:spacing w:before="20" w:after="20"/>
              <w:jc w:val="right"/>
            </w:pPr>
            <w:r>
              <w:rPr>
                <w:sz w:val="14"/>
                <w:szCs w:val="14"/>
              </w:rPr>
              <w:t xml:space="preserve">0,2</w:t>
            </w:r>
          </w:p>
        </w:tc>
        <w:tc>
          <w:tcPr>
            <w:tcW w:w="760" w:type="dxa"/>
            <w:vAlign w:val="center"/>
          </w:tcPr>
          <w:p>
            <w:pPr>
              <w:spacing w:before="20" w:after="20"/>
              <w:jc w:val="right"/>
            </w:pPr>
            <w:r>
              <w:rPr>
                <w:sz w:val="14"/>
                <w:szCs w:val="14"/>
              </w:rPr>
              <w:t xml:space="preserve">0,3</w:t>
            </w:r>
          </w:p>
        </w:tc>
        <w:tc>
          <w:tcPr>
            <w:tcW w:w="760" w:type="dxa"/>
            <w:vAlign w:val="center"/>
          </w:tcPr>
          <w:p>
            <w:pPr>
              <w:spacing w:before="20" w:after="20"/>
              <w:jc w:val="right"/>
            </w:pPr>
            <w:r>
              <w:rPr>
                <w:sz w:val="14"/>
                <w:szCs w:val="14"/>
              </w:rPr>
              <w:t xml:space="preserve">0,4</w:t>
            </w:r>
          </w:p>
        </w:tc>
      </w:tr>
      <w:tr>
        <w:trPr>
          <w:cantSplit/>
        </w:trPr>
        <w:tc>
          <w:tcPr>
            <w:tcW w:w="1700" w:type="dxa"/>
            <w:shd w:val="clear" w:color="auto" w:fill="F2F4F7"/>
            <w:vAlign w:val="center"/>
          </w:tcPr>
          <w:p>
            <w:pPr>
              <w:spacing w:before="20" w:after="20"/>
              <w:jc w:val="left"/>
            </w:pPr>
            <w:r>
              <w:rPr>
                <w:b/>
                <w:sz w:val="14"/>
                <w:szCs w:val="14"/>
              </w:rPr>
              <w:t xml:space="preserve">Nicaragua</w:t>
            </w:r>
          </w:p>
        </w:tc>
        <w:tc>
          <w:tcPr>
            <w:tcW w:w="760" w:type="dxa"/>
            <w:shd w:val="clear" w:color="auto" w:fill="F2F4F7"/>
            <w:vAlign w:val="center"/>
          </w:tcPr>
          <w:p>
            <w:pPr>
              <w:spacing w:before="20" w:after="20"/>
              <w:jc w:val="right"/>
            </w:pPr>
            <w:r>
              <w:rPr>
                <w:sz w:val="14"/>
                <w:szCs w:val="14"/>
              </w:rPr>
              <w:t xml:space="preserve">1,2</w:t>
            </w:r>
          </w:p>
        </w:tc>
        <w:tc>
          <w:tcPr>
            <w:tcW w:w="760" w:type="dxa"/>
            <w:shd w:val="clear" w:color="auto" w:fill="F2F4F7"/>
            <w:vAlign w:val="center"/>
          </w:tcPr>
          <w:p>
            <w:pPr>
              <w:spacing w:before="20" w:after="20"/>
              <w:jc w:val="right"/>
            </w:pPr>
            <w:r>
              <w:rPr>
                <w:sz w:val="14"/>
                <w:szCs w:val="14"/>
              </w:rPr>
              <w:t xml:space="preserve">13,2</w:t>
            </w:r>
          </w:p>
        </w:tc>
        <w:tc>
          <w:tcPr>
            <w:tcW w:w="760" w:type="dxa"/>
            <w:shd w:val="clear" w:color="auto" w:fill="F2F4F7"/>
            <w:vAlign w:val="center"/>
          </w:tcPr>
          <w:p>
            <w:pPr>
              <w:spacing w:before="20" w:after="20"/>
              <w:jc w:val="right"/>
            </w:pPr>
            <w:r>
              <w:rPr>
                <w:sz w:val="14"/>
                <w:szCs w:val="14"/>
              </w:rPr>
              <w:t xml:space="preserve">0,8</w:t>
            </w:r>
          </w:p>
        </w:tc>
        <w:tc>
          <w:tcPr>
            <w:tcW w:w="760" w:type="dxa"/>
            <w:shd w:val="clear" w:color="auto" w:fill="F2F4F7"/>
            <w:vAlign w:val="center"/>
          </w:tcPr>
          <w:p>
            <w:pPr>
              <w:spacing w:before="20" w:after="20"/>
              <w:jc w:val="right"/>
            </w:pPr>
            <w:r>
              <w:rPr>
                <w:sz w:val="14"/>
                <w:szCs w:val="14"/>
              </w:rPr>
              <w:t xml:space="preserve">1,1</w:t>
            </w:r>
          </w:p>
        </w:tc>
        <w:tc>
          <w:tcPr>
            <w:tcW w:w="760" w:type="dxa"/>
            <w:shd w:val="clear" w:color="auto" w:fill="F2F4F7"/>
            <w:vAlign w:val="center"/>
          </w:tcPr>
          <w:p>
            <w:pPr>
              <w:spacing w:before="20" w:after="20"/>
              <w:jc w:val="right"/>
            </w:pPr>
            <w:r>
              <w:rPr>
                <w:sz w:val="14"/>
                <w:szCs w:val="14"/>
              </w:rPr>
              <w:t xml:space="preserve">4,9</w:t>
            </w:r>
          </w:p>
        </w:tc>
        <w:tc>
          <w:tcPr>
            <w:tcW w:w="760" w:type="dxa"/>
            <w:shd w:val="clear" w:color="auto" w:fill="F2F4F7"/>
            <w:vAlign w:val="center"/>
          </w:tcPr>
          <w:p>
            <w:pPr>
              <w:spacing w:before="20" w:after="20"/>
              <w:jc w:val="right"/>
            </w:pPr>
            <w:r>
              <w:rPr>
                <w:sz w:val="14"/>
                <w:szCs w:val="14"/>
              </w:rPr>
              <w:t xml:space="preserve">1,7</w:t>
            </w:r>
          </w:p>
        </w:tc>
        <w:tc>
          <w:tcPr>
            <w:tcW w:w="760" w:type="dxa"/>
            <w:shd w:val="clear" w:color="auto" w:fill="F2F4F7"/>
            <w:vAlign w:val="center"/>
          </w:tcPr>
          <w:p>
            <w:pPr>
              <w:spacing w:before="20" w:after="20"/>
              <w:jc w:val="right"/>
            </w:pPr>
            <w:r>
              <w:rPr>
                <w:sz w:val="14"/>
                <w:szCs w:val="14"/>
              </w:rPr>
              <w:t xml:space="preserve">2,7</w:t>
            </w:r>
          </w:p>
        </w:tc>
        <w:tc>
          <w:tcPr>
            <w:tcW w:w="760" w:type="dxa"/>
            <w:shd w:val="clear" w:color="auto" w:fill="F2F4F7"/>
            <w:vAlign w:val="center"/>
          </w:tcPr>
          <w:p>
            <w:pPr>
              <w:spacing w:before="20" w:after="20"/>
              <w:jc w:val="right"/>
            </w:pPr>
            <w:r>
              <w:rPr>
                <w:sz w:val="14"/>
                <w:szCs w:val="14"/>
              </w:rPr>
              <w:t xml:space="preserve">5,3</w:t>
            </w:r>
          </w:p>
        </w:tc>
        <w:tc>
          <w:tcPr>
            <w:tcW w:w="760" w:type="dxa"/>
            <w:shd w:val="clear" w:color="auto" w:fill="F2F4F7"/>
            <w:vAlign w:val="center"/>
          </w:tcPr>
          <w:p>
            <w:pPr>
              <w:spacing w:before="20" w:after="20"/>
              <w:jc w:val="right"/>
            </w:pPr>
            <w:r>
              <w:rPr>
                <w:sz w:val="14"/>
                <w:szCs w:val="14"/>
              </w:rPr>
              <w:t xml:space="preserve">4,9</w:t>
            </w:r>
          </w:p>
        </w:tc>
        <w:tc>
          <w:tcPr>
            <w:tcW w:w="760" w:type="dxa"/>
            <w:shd w:val="clear" w:color="auto" w:fill="F2F4F7"/>
            <w:vAlign w:val="center"/>
          </w:tcPr>
          <w:p>
            <w:pPr>
              <w:spacing w:before="20" w:after="20"/>
              <w:jc w:val="right"/>
            </w:pPr>
            <w:r>
              <w:rPr>
                <w:sz w:val="14"/>
                <w:szCs w:val="14"/>
              </w:rPr>
              <w:t xml:space="preserve">1,3</w:t>
            </w:r>
          </w:p>
        </w:tc>
        <w:tc>
          <w:tcPr>
            <w:tcW w:w="760" w:type="dxa"/>
            <w:shd w:val="clear" w:color="auto" w:fill="F2F4F7"/>
            <w:vAlign w:val="center"/>
          </w:tcPr>
          <w:p>
            <w:pPr>
              <w:spacing w:before="20" w:after="20"/>
              <w:jc w:val="right"/>
            </w:pPr>
            <w:r>
              <w:rPr>
                <w:sz w:val="14"/>
                <w:szCs w:val="14"/>
              </w:rPr>
              <w:t xml:space="preserve">1,4</w:t>
            </w:r>
          </w:p>
        </w:tc>
        <w:tc>
          <w:tcPr>
            <w:tcW w:w="760" w:type="dxa"/>
            <w:shd w:val="clear" w:color="auto" w:fill="F2F4F7"/>
            <w:vAlign w:val="center"/>
          </w:tcPr>
          <w:p>
            <w:pPr>
              <w:spacing w:before="20" w:after="20"/>
              <w:jc w:val="right"/>
            </w:pPr>
            <w:r>
              <w:rPr>
                <w:sz w:val="14"/>
                <w:szCs w:val="14"/>
              </w:rPr>
              <w:t xml:space="preserve">0,9</w:t>
            </w:r>
          </w:p>
        </w:tc>
        <w:tc>
          <w:tcPr>
            <w:tcW w:w="760" w:type="dxa"/>
            <w:shd w:val="clear" w:color="auto" w:fill="F2F4F7"/>
            <w:vAlign w:val="center"/>
          </w:tcPr>
          <w:p>
            <w:pPr>
              <w:spacing w:before="20" w:after="20"/>
              <w:jc w:val="right"/>
            </w:pPr>
            <w:r>
              <w:rPr>
                <w:sz w:val="14"/>
                <w:szCs w:val="14"/>
              </w:rPr>
              <w:t xml:space="preserve">1,0</w:t>
            </w:r>
          </w:p>
        </w:tc>
        <w:tc>
          <w:tcPr>
            <w:tcW w:w="760" w:type="dxa"/>
            <w:shd w:val="clear" w:color="auto" w:fill="F2F4F7"/>
            <w:vAlign w:val="center"/>
          </w:tcPr>
          <w:p>
            <w:pPr>
              <w:spacing w:before="20" w:after="20"/>
              <w:jc w:val="right"/>
            </w:pPr>
            <w:r>
              <w:rPr>
                <w:sz w:val="14"/>
                <w:szCs w:val="14"/>
              </w:rPr>
              <w:t xml:space="preserve">6,3</w:t>
            </w:r>
          </w:p>
        </w:tc>
        <w:tc>
          <w:tcPr>
            <w:tcW w:w="760" w:type="dxa"/>
            <w:shd w:val="clear" w:color="auto" w:fill="F2F4F7"/>
            <w:vAlign w:val="center"/>
          </w:tcPr>
          <w:p>
            <w:pPr>
              <w:spacing w:before="20" w:after="20"/>
              <w:jc w:val="right"/>
            </w:pPr>
            <w:r>
              <w:rPr>
                <w:sz w:val="14"/>
                <w:szCs w:val="14"/>
              </w:rPr>
              <w:t xml:space="preserve">2,8</w:t>
            </w:r>
          </w:p>
        </w:tc>
        <w:tc>
          <w:tcPr>
            <w:tcW w:w="760" w:type="dxa"/>
            <w:shd w:val="clear" w:color="auto" w:fill="F2F4F7"/>
            <w:vAlign w:val="center"/>
          </w:tcPr>
          <w:p>
            <w:pPr>
              <w:spacing w:before="20" w:after="20"/>
              <w:jc w:val="right"/>
            </w:pPr>
            <w:r>
              <w:rPr>
                <w:sz w:val="14"/>
                <w:szCs w:val="14"/>
              </w:rPr>
              <w:t xml:space="preserve">2,1</w:t>
            </w:r>
          </w:p>
        </w:tc>
        <w:tc>
          <w:tcPr>
            <w:tcW w:w="760" w:type="dxa"/>
            <w:shd w:val="clear" w:color="auto" w:fill="F2F4F7"/>
            <w:vAlign w:val="center"/>
          </w:tcPr>
          <w:p>
            <w:pPr>
              <w:spacing w:before="20" w:after="20"/>
              <w:jc w:val="right"/>
            </w:pPr>
            <w:r>
              <w:rPr>
                <w:sz w:val="14"/>
                <w:szCs w:val="14"/>
              </w:rPr>
              <w:t xml:space="preserve">3,5</w:t>
            </w:r>
          </w:p>
        </w:tc>
      </w:tr>
      <w:tr>
        <w:trPr>
          <w:cantSplit/>
        </w:trPr>
        <w:tc>
          <w:tcPr>
            <w:tcW w:w="1700" w:type="dxa"/>
            <w:vAlign w:val="center"/>
          </w:tcPr>
          <w:p>
            <w:pPr>
              <w:spacing w:before="20" w:after="20"/>
              <w:jc w:val="left"/>
            </w:pPr>
            <w:r>
              <w:rPr>
                <w:b/>
                <w:sz w:val="14"/>
                <w:szCs w:val="14"/>
              </w:rPr>
              <w:t xml:space="preserve">Tanzanie</w:t>
            </w:r>
          </w:p>
        </w:tc>
        <w:tc>
          <w:tcPr>
            <w:tcW w:w="760" w:type="dxa"/>
            <w:vAlign w:val="center"/>
          </w:tcPr>
          <w:p>
            <w:pPr>
              <w:spacing w:before="20" w:after="20"/>
              <w:jc w:val="right"/>
            </w:pPr>
            <w:r>
              <w:rPr>
                <w:sz w:val="14"/>
                <w:szCs w:val="14"/>
              </w:rPr>
              <w:t xml:space="preserve">4,8</w:t>
            </w:r>
          </w:p>
        </w:tc>
        <w:tc>
          <w:tcPr>
            <w:tcW w:w="760" w:type="dxa"/>
            <w:vAlign w:val="center"/>
          </w:tcPr>
          <w:p>
            <w:pPr>
              <w:spacing w:before="20" w:after="20"/>
              <w:jc w:val="right"/>
            </w:pPr>
            <w:r>
              <w:rPr>
                <w:sz w:val="14"/>
                <w:szCs w:val="14"/>
              </w:rPr>
              <w:t xml:space="preserve">7,9</w:t>
            </w:r>
          </w:p>
        </w:tc>
        <w:tc>
          <w:tcPr>
            <w:tcW w:w="760" w:type="dxa"/>
            <w:vAlign w:val="center"/>
          </w:tcPr>
          <w:p>
            <w:pPr>
              <w:spacing w:before="20" w:after="20"/>
              <w:jc w:val="right"/>
            </w:pPr>
            <w:r>
              <w:rPr>
                <w:sz w:val="14"/>
                <w:szCs w:val="14"/>
              </w:rPr>
              <w:t xml:space="preserve">26,3</w:t>
            </w:r>
          </w:p>
        </w:tc>
        <w:tc>
          <w:tcPr>
            <w:tcW w:w="760" w:type="dxa"/>
            <w:vAlign w:val="center"/>
          </w:tcPr>
          <w:p>
            <w:pPr>
              <w:spacing w:before="20" w:after="20"/>
              <w:jc w:val="right"/>
            </w:pPr>
            <w:r>
              <w:rPr>
                <w:sz w:val="14"/>
                <w:szCs w:val="14"/>
              </w:rPr>
              <w:t xml:space="preserve">23,7</w:t>
            </w:r>
          </w:p>
        </w:tc>
        <w:tc>
          <w:tcPr>
            <w:tcW w:w="760" w:type="dxa"/>
            <w:vAlign w:val="center"/>
          </w:tcPr>
          <w:p>
            <w:pPr>
              <w:spacing w:before="20" w:after="20"/>
              <w:jc w:val="right"/>
            </w:pPr>
            <w:r>
              <w:rPr>
                <w:sz w:val="14"/>
                <w:szCs w:val="14"/>
              </w:rPr>
              <w:t xml:space="preserve">31,3</w:t>
            </w:r>
          </w:p>
        </w:tc>
        <w:tc>
          <w:tcPr>
            <w:tcW w:w="760" w:type="dxa"/>
            <w:vAlign w:val="center"/>
          </w:tcPr>
          <w:p>
            <w:pPr>
              <w:spacing w:before="20" w:after="20"/>
              <w:jc w:val="right"/>
            </w:pPr>
            <w:r>
              <w:rPr>
                <w:sz w:val="14"/>
                <w:szCs w:val="14"/>
              </w:rPr>
              <w:t xml:space="preserve">21,3</w:t>
            </w:r>
          </w:p>
        </w:tc>
        <w:tc>
          <w:tcPr>
            <w:tcW w:w="760" w:type="dxa"/>
            <w:vAlign w:val="center"/>
          </w:tcPr>
          <w:p>
            <w:pPr>
              <w:spacing w:before="20" w:after="20"/>
              <w:jc w:val="right"/>
            </w:pPr>
            <w:r>
              <w:rPr>
                <w:sz w:val="14"/>
                <w:szCs w:val="14"/>
              </w:rPr>
              <w:t xml:space="preserve">20,4</w:t>
            </w:r>
          </w:p>
        </w:tc>
        <w:tc>
          <w:tcPr>
            <w:tcW w:w="760" w:type="dxa"/>
            <w:vAlign w:val="center"/>
          </w:tcPr>
          <w:p>
            <w:pPr>
              <w:spacing w:before="20" w:after="20"/>
              <w:jc w:val="right"/>
            </w:pPr>
            <w:r>
              <w:rPr>
                <w:sz w:val="14"/>
                <w:szCs w:val="14"/>
              </w:rPr>
              <w:t xml:space="preserve">26,9</w:t>
            </w:r>
          </w:p>
        </w:tc>
        <w:tc>
          <w:tcPr>
            <w:tcW w:w="760" w:type="dxa"/>
            <w:vAlign w:val="center"/>
          </w:tcPr>
          <w:p>
            <w:pPr>
              <w:spacing w:before="20" w:after="20"/>
              <w:jc w:val="right"/>
            </w:pPr>
            <w:r>
              <w:rPr>
                <w:sz w:val="14"/>
                <w:szCs w:val="14"/>
              </w:rPr>
              <w:t xml:space="preserve">16,4</w:t>
            </w:r>
          </w:p>
        </w:tc>
        <w:tc>
          <w:tcPr>
            <w:tcW w:w="760" w:type="dxa"/>
            <w:vAlign w:val="center"/>
          </w:tcPr>
          <w:p>
            <w:pPr>
              <w:spacing w:before="20" w:after="20"/>
              <w:jc w:val="right"/>
            </w:pPr>
            <w:r>
              <w:rPr>
                <w:sz w:val="14"/>
                <w:szCs w:val="14"/>
              </w:rPr>
              <w:t xml:space="preserve">10,2</w:t>
            </w:r>
          </w:p>
        </w:tc>
        <w:tc>
          <w:tcPr>
            <w:tcW w:w="760" w:type="dxa"/>
            <w:vAlign w:val="center"/>
          </w:tcPr>
          <w:p>
            <w:pPr>
              <w:spacing w:before="20" w:after="20"/>
              <w:jc w:val="right"/>
            </w:pPr>
            <w:r>
              <w:rPr>
                <w:sz w:val="14"/>
                <w:szCs w:val="14"/>
              </w:rPr>
              <w:t xml:space="preserve">11,4</w:t>
            </w:r>
          </w:p>
        </w:tc>
        <w:tc>
          <w:tcPr>
            <w:tcW w:w="760" w:type="dxa"/>
            <w:vAlign w:val="center"/>
          </w:tcPr>
          <w:p>
            <w:pPr>
              <w:spacing w:before="20" w:after="20"/>
              <w:jc w:val="right"/>
            </w:pPr>
            <w:r>
              <w:rPr>
                <w:sz w:val="14"/>
                <w:szCs w:val="14"/>
              </w:rPr>
              <w:t xml:space="preserve">4,0</w:t>
            </w:r>
          </w:p>
        </w:tc>
        <w:tc>
          <w:tcPr>
            <w:tcW w:w="760" w:type="dxa"/>
            <w:vAlign w:val="center"/>
          </w:tcPr>
          <w:p>
            <w:pPr>
              <w:spacing w:before="20" w:after="20"/>
              <w:jc w:val="right"/>
            </w:pPr>
            <w:r>
              <w:rPr>
                <w:sz w:val="14"/>
                <w:szCs w:val="14"/>
              </w:rPr>
              <w:t xml:space="preserve">1,8</w:t>
            </w:r>
          </w:p>
        </w:tc>
        <w:tc>
          <w:tcPr>
            <w:tcW w:w="760" w:type="dxa"/>
            <w:vAlign w:val="center"/>
          </w:tcPr>
          <w:p>
            <w:pPr>
              <w:spacing w:before="20" w:after="20"/>
              <w:jc w:val="right"/>
            </w:pPr>
            <w:r>
              <w:rPr>
                <w:sz w:val="14"/>
                <w:szCs w:val="14"/>
              </w:rPr>
              <w:t xml:space="preserve">2,3</w:t>
            </w:r>
          </w:p>
        </w:tc>
        <w:tc>
          <w:tcPr>
            <w:tcW w:w="760" w:type="dxa"/>
            <w:vAlign w:val="center"/>
          </w:tcPr>
          <w:p>
            <w:pPr>
              <w:spacing w:before="20" w:after="20"/>
              <w:jc w:val="right"/>
            </w:pPr>
            <w:r>
              <w:rPr>
                <w:sz w:val="14"/>
                <w:szCs w:val="14"/>
              </w:rPr>
              <w:t xml:space="preserve">3,7</w:t>
            </w:r>
          </w:p>
        </w:tc>
        <w:tc>
          <w:tcPr>
            <w:tcW w:w="760" w:type="dxa"/>
            <w:vAlign w:val="center"/>
          </w:tcPr>
          <w:p>
            <w:pPr>
              <w:spacing w:before="20" w:after="20"/>
              <w:jc w:val="right"/>
            </w:pPr>
            <w:r>
              <w:rPr>
                <w:sz w:val="14"/>
                <w:szCs w:val="14"/>
              </w:rPr>
              <w:t xml:space="preserve">3,5</w:t>
            </w:r>
          </w:p>
        </w:tc>
        <w:tc>
          <w:tcPr>
            <w:tcW w:w="760" w:type="dxa"/>
            <w:vAlign w:val="center"/>
          </w:tcPr>
          <w:p>
            <w:pPr>
              <w:spacing w:before="20" w:after="20"/>
              <w:jc w:val="right"/>
            </w:pPr>
            <w:r>
              <w:rPr>
                <w:sz w:val="14"/>
                <w:szCs w:val="14"/>
              </w:rPr>
              <w:t xml:space="preserve">10,5</w:t>
            </w:r>
          </w:p>
        </w:tc>
      </w:tr>
      <w:tr>
        <w:trPr>
          <w:cantSplit/>
        </w:trPr>
        <w:tc>
          <w:tcPr>
            <w:tcW w:w="1700" w:type="dxa"/>
            <w:shd w:val="clear" w:color="auto" w:fill="F2F4F7"/>
            <w:vAlign w:val="center"/>
          </w:tcPr>
          <w:p>
            <w:pPr>
              <w:spacing w:before="20" w:after="20"/>
              <w:jc w:val="left"/>
            </w:pPr>
            <w:r>
              <w:rPr>
                <w:b/>
                <w:sz w:val="14"/>
                <w:szCs w:val="14"/>
              </w:rPr>
              <w:t xml:space="preserve">Malaisie</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r>
      <w:tr>
        <w:trPr>
          <w:cantSplit/>
        </w:trPr>
        <w:tc>
          <w:tcPr>
            <w:tcW w:w="1700" w:type="dxa"/>
            <w:vAlign w:val="center"/>
          </w:tcPr>
          <w:p>
            <w:pPr>
              <w:spacing w:before="20" w:after="20"/>
              <w:jc w:val="left"/>
            </w:pPr>
            <w:r>
              <w:rPr>
                <w:b/>
                <w:sz w:val="14"/>
                <w:szCs w:val="14"/>
              </w:rPr>
              <w:t xml:space="preserve">Côte d'Ivoire</w:t>
            </w:r>
          </w:p>
        </w:tc>
        <w:tc>
          <w:tcPr>
            <w:tcW w:w="760" w:type="dxa"/>
            <w:vAlign w:val="center"/>
          </w:tcPr>
          <w:p>
            <w:pPr>
              <w:spacing w:before="20" w:after="20"/>
              <w:jc w:val="right"/>
            </w:pPr>
            <w:r>
              <w:rPr>
                <w:sz w:val="14"/>
                <w:szCs w:val="14"/>
              </w:rPr>
              <w:t xml:space="preserve">31,8</w:t>
            </w:r>
          </w:p>
        </w:tc>
        <w:tc>
          <w:tcPr>
            <w:tcW w:w="760" w:type="dxa"/>
            <w:vAlign w:val="center"/>
          </w:tcPr>
          <w:p>
            <w:pPr>
              <w:spacing w:before="20" w:after="20"/>
              <w:jc w:val="right"/>
            </w:pPr>
            <w:r>
              <w:rPr>
                <w:sz w:val="14"/>
                <w:szCs w:val="14"/>
              </w:rPr>
              <w:t xml:space="preserve">4,6</w:t>
            </w:r>
          </w:p>
        </w:tc>
        <w:tc>
          <w:tcPr>
            <w:tcW w:w="760" w:type="dxa"/>
            <w:vAlign w:val="center"/>
          </w:tcPr>
          <w:p>
            <w:pPr>
              <w:spacing w:before="20" w:after="20"/>
              <w:jc w:val="right"/>
            </w:pPr>
            <w:r>
              <w:rPr>
                <w:sz w:val="14"/>
                <w:szCs w:val="14"/>
              </w:rPr>
              <w:t xml:space="preserve">2,8</w:t>
            </w:r>
          </w:p>
        </w:tc>
        <w:tc>
          <w:tcPr>
            <w:tcW w:w="760" w:type="dxa"/>
            <w:vAlign w:val="center"/>
          </w:tcPr>
          <w:p>
            <w:pPr>
              <w:spacing w:before="20" w:after="20"/>
              <w:jc w:val="right"/>
            </w:pPr>
            <w:r>
              <w:rPr>
                <w:sz w:val="14"/>
                <w:szCs w:val="14"/>
              </w:rPr>
              <w:t xml:space="preserve">3,3</w:t>
            </w:r>
          </w:p>
        </w:tc>
        <w:tc>
          <w:tcPr>
            <w:tcW w:w="760" w:type="dxa"/>
            <w:vAlign w:val="center"/>
          </w:tcPr>
          <w:p>
            <w:pPr>
              <w:spacing w:before="20" w:after="20"/>
              <w:jc w:val="right"/>
            </w:pPr>
            <w:r>
              <w:rPr>
                <w:sz w:val="14"/>
                <w:szCs w:val="14"/>
              </w:rPr>
              <w:t xml:space="preserve">2,1</w:t>
            </w:r>
          </w:p>
        </w:tc>
        <w:tc>
          <w:tcPr>
            <w:tcW w:w="760" w:type="dxa"/>
            <w:vAlign w:val="center"/>
          </w:tcPr>
          <w:p>
            <w:pPr>
              <w:spacing w:before="20" w:after="20"/>
              <w:jc w:val="right"/>
            </w:pPr>
            <w:r>
              <w:rPr>
                <w:sz w:val="14"/>
                <w:szCs w:val="14"/>
              </w:rPr>
              <w:t xml:space="preserve">0,9</w:t>
            </w:r>
          </w:p>
        </w:tc>
        <w:tc>
          <w:tcPr>
            <w:tcW w:w="760" w:type="dxa"/>
            <w:vAlign w:val="center"/>
          </w:tcPr>
          <w:p>
            <w:pPr>
              <w:spacing w:before="20" w:after="20"/>
              <w:jc w:val="right"/>
            </w:pPr>
            <w:r>
              <w:rPr>
                <w:sz w:val="14"/>
                <w:szCs w:val="14"/>
              </w:rPr>
              <w:t xml:space="preserve">1,4</w:t>
            </w:r>
          </w:p>
        </w:tc>
        <w:tc>
          <w:tcPr>
            <w:tcW w:w="760" w:type="dxa"/>
            <w:vAlign w:val="center"/>
          </w:tcPr>
          <w:p>
            <w:pPr>
              <w:spacing w:before="20" w:after="20"/>
              <w:jc w:val="right"/>
            </w:pPr>
            <w:r>
              <w:rPr>
                <w:sz w:val="14"/>
                <w:szCs w:val="14"/>
              </w:rPr>
              <w:t xml:space="preserve">1,2</w:t>
            </w:r>
          </w:p>
        </w:tc>
        <w:tc>
          <w:tcPr>
            <w:tcW w:w="760" w:type="dxa"/>
            <w:vAlign w:val="center"/>
          </w:tcPr>
          <w:p>
            <w:pPr>
              <w:spacing w:before="20" w:after="20"/>
              <w:jc w:val="right"/>
            </w:pPr>
            <w:r>
              <w:rPr>
                <w:sz w:val="14"/>
                <w:szCs w:val="14"/>
              </w:rPr>
              <w:t xml:space="preserve">0,8</w:t>
            </w:r>
          </w:p>
        </w:tc>
        <w:tc>
          <w:tcPr>
            <w:tcW w:w="760" w:type="dxa"/>
            <w:vAlign w:val="center"/>
          </w:tcPr>
          <w:p>
            <w:pPr>
              <w:spacing w:before="20" w:after="20"/>
              <w:jc w:val="right"/>
            </w:pPr>
            <w:r>
              <w:rPr>
                <w:sz w:val="14"/>
                <w:szCs w:val="14"/>
              </w:rPr>
              <w:t xml:space="preserve">0,0</w:t>
            </w:r>
          </w:p>
        </w:tc>
        <w:tc>
          <w:tcPr>
            <w:tcW w:w="760" w:type="dxa"/>
            <w:vAlign w:val="center"/>
          </w:tcPr>
          <w:p>
            <w:pPr>
              <w:spacing w:before="20" w:after="20"/>
              <w:jc w:val="right"/>
            </w:pPr>
            <w:r>
              <w:rPr>
                <w:sz w:val="14"/>
                <w:szCs w:val="14"/>
              </w:rPr>
              <w:t xml:space="preserve">0,0</w:t>
            </w:r>
          </w:p>
        </w:tc>
        <w:tc>
          <w:tcPr>
            <w:tcW w:w="760" w:type="dxa"/>
            <w:vAlign w:val="center"/>
          </w:tcPr>
          <w:p>
            <w:pPr>
              <w:spacing w:before="20" w:after="20"/>
              <w:jc w:val="right"/>
            </w:pPr>
            <w:r>
              <w:rPr>
                <w:sz w:val="14"/>
                <w:szCs w:val="14"/>
              </w:rPr>
              <w:t xml:space="preserve">0,0</w:t>
            </w:r>
          </w:p>
        </w:tc>
        <w:tc>
          <w:tcPr>
            <w:tcW w:w="760" w:type="dxa"/>
            <w:vAlign w:val="center"/>
          </w:tcPr>
          <w:p>
            <w:pPr>
              <w:spacing w:before="20" w:after="20"/>
              <w:jc w:val="right"/>
            </w:pPr>
            <w:r>
              <w:rPr>
                <w:sz w:val="14"/>
                <w:szCs w:val="14"/>
              </w:rPr>
              <w:t xml:space="preserve">0,0</w:t>
            </w:r>
          </w:p>
        </w:tc>
        <w:tc>
          <w:tcPr>
            <w:tcW w:w="760" w:type="dxa"/>
            <w:vAlign w:val="center"/>
          </w:tcPr>
          <w:p>
            <w:pPr>
              <w:spacing w:before="20" w:after="20"/>
              <w:jc w:val="right"/>
            </w:pPr>
            <w:r>
              <w:rPr>
                <w:sz w:val="14"/>
                <w:szCs w:val="14"/>
              </w:rPr>
              <w:t xml:space="preserve">0,0</w:t>
            </w:r>
          </w:p>
        </w:tc>
        <w:tc>
          <w:tcPr>
            <w:tcW w:w="760" w:type="dxa"/>
            <w:vAlign w:val="center"/>
          </w:tcPr>
          <w:p>
            <w:pPr>
              <w:spacing w:before="20" w:after="20"/>
              <w:jc w:val="right"/>
            </w:pPr>
            <w:r>
              <w:rPr>
                <w:sz w:val="14"/>
                <w:szCs w:val="14"/>
              </w:rPr>
              <w:t xml:space="preserve">0,0</w:t>
            </w:r>
          </w:p>
        </w:tc>
        <w:tc>
          <w:tcPr>
            <w:tcW w:w="760" w:type="dxa"/>
            <w:vAlign w:val="center"/>
          </w:tcPr>
          <w:p>
            <w:pPr>
              <w:spacing w:before="20" w:after="20"/>
              <w:jc w:val="right"/>
            </w:pPr>
            <w:r>
              <w:rPr>
                <w:sz w:val="14"/>
                <w:szCs w:val="14"/>
              </w:rPr>
              <w:t xml:space="preserve">0,0</w:t>
            </w:r>
          </w:p>
        </w:tc>
        <w:tc>
          <w:tcPr>
            <w:tcW w:w="760" w:type="dxa"/>
            <w:vAlign w:val="center"/>
          </w:tcPr>
          <w:p>
            <w:pPr>
              <w:spacing w:before="20" w:after="20"/>
              <w:jc w:val="right"/>
            </w:pPr>
            <w:r>
              <w:rPr>
                <w:sz w:val="14"/>
                <w:szCs w:val="14"/>
              </w:rPr>
              <w:t xml:space="preserve">0,0</w:t>
            </w:r>
          </w:p>
        </w:tc>
      </w:tr>
      <w:tr>
        <w:trPr>
          <w:cantSplit/>
        </w:trPr>
        <w:tc>
          <w:tcPr>
            <w:tcW w:w="1700" w:type="dxa"/>
            <w:shd w:val="clear" w:color="auto" w:fill="F2F4F7"/>
            <w:vAlign w:val="center"/>
          </w:tcPr>
          <w:p>
            <w:pPr>
              <w:spacing w:before="20" w:after="20"/>
              <w:jc w:val="left"/>
            </w:pPr>
            <w:r>
              <w:rPr>
                <w:b/>
                <w:sz w:val="14"/>
                <w:szCs w:val="14"/>
              </w:rPr>
              <w:t xml:space="preserve">Costa Rica</w:t>
            </w:r>
          </w:p>
        </w:tc>
        <w:tc>
          <w:tcPr>
            <w:tcW w:w="760" w:type="dxa"/>
            <w:shd w:val="clear" w:color="auto" w:fill="F2F4F7"/>
            <w:vAlign w:val="center"/>
          </w:tcPr>
          <w:p>
            <w:pPr>
              <w:spacing w:before="20" w:after="20"/>
              <w:jc w:val="right"/>
            </w:pPr>
            <w:r>
              <w:rPr>
                <w:sz w:val="14"/>
                <w:szCs w:val="14"/>
              </w:rPr>
              <w:t xml:space="preserve">11,8</w:t>
            </w:r>
          </w:p>
        </w:tc>
        <w:tc>
          <w:tcPr>
            <w:tcW w:w="760" w:type="dxa"/>
            <w:shd w:val="clear" w:color="auto" w:fill="F2F4F7"/>
            <w:vAlign w:val="center"/>
          </w:tcPr>
          <w:p>
            <w:pPr>
              <w:spacing w:before="20" w:after="20"/>
              <w:jc w:val="right"/>
            </w:pPr>
            <w:r>
              <w:rPr>
                <w:sz w:val="14"/>
                <w:szCs w:val="14"/>
              </w:rPr>
              <w:t xml:space="preserve">13,2</w:t>
            </w:r>
          </w:p>
        </w:tc>
        <w:tc>
          <w:tcPr>
            <w:tcW w:w="760" w:type="dxa"/>
            <w:shd w:val="clear" w:color="auto" w:fill="F2F4F7"/>
            <w:vAlign w:val="center"/>
          </w:tcPr>
          <w:p>
            <w:pPr>
              <w:spacing w:before="20" w:after="20"/>
              <w:jc w:val="right"/>
            </w:pPr>
            <w:r>
              <w:rPr>
                <w:sz w:val="14"/>
                <w:szCs w:val="14"/>
              </w:rPr>
              <w:t xml:space="preserve">10,7</w:t>
            </w:r>
          </w:p>
        </w:tc>
        <w:tc>
          <w:tcPr>
            <w:tcW w:w="760" w:type="dxa"/>
            <w:shd w:val="clear" w:color="auto" w:fill="F2F4F7"/>
            <w:vAlign w:val="center"/>
          </w:tcPr>
          <w:p>
            <w:pPr>
              <w:spacing w:before="20" w:after="20"/>
              <w:jc w:val="right"/>
            </w:pPr>
            <w:r>
              <w:rPr>
                <w:sz w:val="14"/>
                <w:szCs w:val="14"/>
              </w:rPr>
              <w:t xml:space="preserve">7,6</w:t>
            </w:r>
          </w:p>
        </w:tc>
        <w:tc>
          <w:tcPr>
            <w:tcW w:w="760" w:type="dxa"/>
            <w:shd w:val="clear" w:color="auto" w:fill="F2F4F7"/>
            <w:vAlign w:val="center"/>
          </w:tcPr>
          <w:p>
            <w:pPr>
              <w:spacing w:before="20" w:after="20"/>
              <w:jc w:val="right"/>
            </w:pPr>
            <w:r>
              <w:rPr>
                <w:sz w:val="14"/>
                <w:szCs w:val="14"/>
              </w:rPr>
              <w:t xml:space="preserve">7,2</w:t>
            </w:r>
          </w:p>
        </w:tc>
        <w:tc>
          <w:tcPr>
            <w:tcW w:w="760" w:type="dxa"/>
            <w:shd w:val="clear" w:color="auto" w:fill="F2F4F7"/>
            <w:vAlign w:val="center"/>
          </w:tcPr>
          <w:p>
            <w:pPr>
              <w:spacing w:before="20" w:after="20"/>
              <w:jc w:val="right"/>
            </w:pPr>
            <w:r>
              <w:rPr>
                <w:sz w:val="14"/>
                <w:szCs w:val="14"/>
              </w:rPr>
              <w:t xml:space="preserve">19,7</w:t>
            </w:r>
          </w:p>
        </w:tc>
        <w:tc>
          <w:tcPr>
            <w:tcW w:w="760" w:type="dxa"/>
            <w:shd w:val="clear" w:color="auto" w:fill="F2F4F7"/>
            <w:vAlign w:val="center"/>
          </w:tcPr>
          <w:p>
            <w:pPr>
              <w:spacing w:before="20" w:after="20"/>
              <w:jc w:val="right"/>
            </w:pPr>
            <w:r>
              <w:rPr>
                <w:sz w:val="14"/>
                <w:szCs w:val="14"/>
              </w:rPr>
              <w:t xml:space="preserve">15,0</w:t>
            </w:r>
          </w:p>
        </w:tc>
        <w:tc>
          <w:tcPr>
            <w:tcW w:w="760" w:type="dxa"/>
            <w:shd w:val="clear" w:color="auto" w:fill="F2F4F7"/>
            <w:vAlign w:val="center"/>
          </w:tcPr>
          <w:p>
            <w:pPr>
              <w:spacing w:before="20" w:after="20"/>
              <w:jc w:val="right"/>
            </w:pPr>
            <w:r>
              <w:rPr>
                <w:sz w:val="14"/>
                <w:szCs w:val="14"/>
              </w:rPr>
              <w:t xml:space="preserve">16,1</w:t>
            </w:r>
          </w:p>
        </w:tc>
        <w:tc>
          <w:tcPr>
            <w:tcW w:w="760" w:type="dxa"/>
            <w:shd w:val="clear" w:color="auto" w:fill="F2F4F7"/>
            <w:vAlign w:val="center"/>
          </w:tcPr>
          <w:p>
            <w:pPr>
              <w:spacing w:before="20" w:after="20"/>
              <w:jc w:val="right"/>
            </w:pPr>
            <w:r>
              <w:rPr>
                <w:sz w:val="14"/>
                <w:szCs w:val="14"/>
              </w:rPr>
              <w:t xml:space="preserve">15,0</w:t>
            </w:r>
          </w:p>
        </w:tc>
        <w:tc>
          <w:tcPr>
            <w:tcW w:w="760" w:type="dxa"/>
            <w:shd w:val="clear" w:color="auto" w:fill="F2F4F7"/>
            <w:vAlign w:val="center"/>
          </w:tcPr>
          <w:p>
            <w:pPr>
              <w:spacing w:before="20" w:after="20"/>
              <w:jc w:val="right"/>
            </w:pPr>
            <w:r>
              <w:rPr>
                <w:sz w:val="14"/>
                <w:szCs w:val="14"/>
              </w:rPr>
              <w:t xml:space="preserve">18,7</w:t>
            </w:r>
          </w:p>
        </w:tc>
        <w:tc>
          <w:tcPr>
            <w:tcW w:w="760" w:type="dxa"/>
            <w:shd w:val="clear" w:color="auto" w:fill="F2F4F7"/>
            <w:vAlign w:val="center"/>
          </w:tcPr>
          <w:p>
            <w:pPr>
              <w:spacing w:before="20" w:after="20"/>
              <w:jc w:val="right"/>
            </w:pPr>
            <w:r>
              <w:rPr>
                <w:sz w:val="14"/>
                <w:szCs w:val="14"/>
              </w:rPr>
              <w:t xml:space="preserve">17,0</w:t>
            </w:r>
          </w:p>
        </w:tc>
        <w:tc>
          <w:tcPr>
            <w:tcW w:w="760" w:type="dxa"/>
            <w:shd w:val="clear" w:color="auto" w:fill="F2F4F7"/>
            <w:vAlign w:val="center"/>
          </w:tcPr>
          <w:p>
            <w:pPr>
              <w:spacing w:before="20" w:after="20"/>
              <w:jc w:val="right"/>
            </w:pPr>
            <w:r>
              <w:rPr>
                <w:sz w:val="14"/>
                <w:szCs w:val="14"/>
              </w:rPr>
              <w:t xml:space="preserve">16,5</w:t>
            </w:r>
          </w:p>
        </w:tc>
        <w:tc>
          <w:tcPr>
            <w:tcW w:w="760" w:type="dxa"/>
            <w:shd w:val="clear" w:color="auto" w:fill="F2F4F7"/>
            <w:vAlign w:val="center"/>
          </w:tcPr>
          <w:p>
            <w:pPr>
              <w:spacing w:before="20" w:after="20"/>
              <w:jc w:val="right"/>
            </w:pPr>
            <w:r>
              <w:rPr>
                <w:sz w:val="14"/>
                <w:szCs w:val="14"/>
              </w:rPr>
              <w:t xml:space="preserve">13,0</w:t>
            </w:r>
          </w:p>
        </w:tc>
        <w:tc>
          <w:tcPr>
            <w:tcW w:w="760" w:type="dxa"/>
            <w:shd w:val="clear" w:color="auto" w:fill="F2F4F7"/>
            <w:vAlign w:val="center"/>
          </w:tcPr>
          <w:p>
            <w:pPr>
              <w:spacing w:before="20" w:after="20"/>
              <w:jc w:val="right"/>
            </w:pPr>
            <w:r>
              <w:rPr>
                <w:sz w:val="14"/>
                <w:szCs w:val="14"/>
              </w:rPr>
              <w:t xml:space="preserve">12,6</w:t>
            </w:r>
          </w:p>
        </w:tc>
        <w:tc>
          <w:tcPr>
            <w:tcW w:w="760" w:type="dxa"/>
            <w:shd w:val="clear" w:color="auto" w:fill="F2F4F7"/>
            <w:vAlign w:val="center"/>
          </w:tcPr>
          <w:p>
            <w:pPr>
              <w:spacing w:before="20" w:after="20"/>
              <w:jc w:val="right"/>
            </w:pPr>
            <w:r>
              <w:rPr>
                <w:sz w:val="14"/>
                <w:szCs w:val="14"/>
              </w:rPr>
              <w:t xml:space="preserve">13,6</w:t>
            </w:r>
          </w:p>
        </w:tc>
        <w:tc>
          <w:tcPr>
            <w:tcW w:w="760" w:type="dxa"/>
            <w:shd w:val="clear" w:color="auto" w:fill="F2F4F7"/>
            <w:vAlign w:val="center"/>
          </w:tcPr>
          <w:p>
            <w:pPr>
              <w:spacing w:before="20" w:after="20"/>
              <w:jc w:val="right"/>
            </w:pPr>
            <w:r>
              <w:rPr>
                <w:sz w:val="14"/>
                <w:szCs w:val="14"/>
              </w:rPr>
              <w:t xml:space="preserve">9,9</w:t>
            </w:r>
          </w:p>
        </w:tc>
        <w:tc>
          <w:tcPr>
            <w:tcW w:w="760" w:type="dxa"/>
            <w:shd w:val="clear" w:color="auto" w:fill="F2F4F7"/>
            <w:vAlign w:val="center"/>
          </w:tcPr>
          <w:p>
            <w:pPr>
              <w:spacing w:before="20" w:after="20"/>
              <w:jc w:val="right"/>
            </w:pPr>
            <w:r>
              <w:rPr>
                <w:sz w:val="14"/>
                <w:szCs w:val="14"/>
              </w:rPr>
              <w:t xml:space="preserve">4,9</w:t>
            </w:r>
          </w:p>
        </w:tc>
      </w:tr>
      <w:tr>
        <w:trPr>
          <w:cantSplit/>
        </w:trPr>
        <w:tc>
          <w:tcPr>
            <w:tcW w:w="1700" w:type="dxa"/>
            <w:vAlign w:val="center"/>
          </w:tcPr>
          <w:p>
            <w:pPr>
              <w:spacing w:before="20" w:after="20"/>
              <w:jc w:val="left"/>
            </w:pPr>
            <w:r>
              <w:rPr>
                <w:b/>
                <w:sz w:val="14"/>
                <w:szCs w:val="14"/>
              </w:rPr>
              <w:t xml:space="preserve">Kenya</w:t>
            </w:r>
          </w:p>
        </w:tc>
        <w:tc>
          <w:tcPr>
            <w:tcW w:w="760" w:type="dxa"/>
            <w:vAlign w:val="center"/>
          </w:tcPr>
          <w:p>
            <w:pPr>
              <w:spacing w:before="20" w:after="20"/>
              <w:jc w:val="right"/>
            </w:pPr>
            <w:r>
              <w:rPr>
                <w:sz w:val="14"/>
                <w:szCs w:val="14"/>
              </w:rPr>
              <w:t xml:space="preserve">60,3</w:t>
            </w:r>
          </w:p>
        </w:tc>
        <w:tc>
          <w:tcPr>
            <w:tcW w:w="760" w:type="dxa"/>
            <w:vAlign w:val="center"/>
          </w:tcPr>
          <w:p>
            <w:pPr>
              <w:spacing w:before="20" w:after="20"/>
              <w:jc w:val="right"/>
            </w:pPr>
            <w:r>
              <w:rPr>
                <w:sz w:val="14"/>
                <w:szCs w:val="14"/>
              </w:rPr>
              <w:t xml:space="preserve">39,2</w:t>
            </w:r>
          </w:p>
        </w:tc>
        <w:tc>
          <w:tcPr>
            <w:tcW w:w="760" w:type="dxa"/>
            <w:vAlign w:val="center"/>
          </w:tcPr>
          <w:p>
            <w:pPr>
              <w:spacing w:before="20" w:after="20"/>
              <w:jc w:val="right"/>
            </w:pPr>
            <w:r>
              <w:rPr>
                <w:sz w:val="14"/>
                <w:szCs w:val="14"/>
              </w:rPr>
              <w:t xml:space="preserve">18,0</w:t>
            </w:r>
          </w:p>
        </w:tc>
        <w:tc>
          <w:tcPr>
            <w:tcW w:w="760" w:type="dxa"/>
            <w:vAlign w:val="center"/>
          </w:tcPr>
          <w:p>
            <w:pPr>
              <w:spacing w:before="20" w:after="20"/>
              <w:jc w:val="right"/>
            </w:pPr>
            <w:r>
              <w:rPr>
                <w:sz w:val="14"/>
                <w:szCs w:val="14"/>
              </w:rPr>
              <w:t xml:space="preserve">24,1</w:t>
            </w:r>
          </w:p>
        </w:tc>
        <w:tc>
          <w:tcPr>
            <w:tcW w:w="760" w:type="dxa"/>
            <w:vAlign w:val="center"/>
          </w:tcPr>
          <w:p>
            <w:pPr>
              <w:spacing w:before="20" w:after="20"/>
              <w:jc w:val="right"/>
            </w:pPr>
            <w:r>
              <w:rPr>
                <w:sz w:val="14"/>
                <w:szCs w:val="14"/>
              </w:rPr>
              <w:t xml:space="preserve">29,6</w:t>
            </w:r>
          </w:p>
        </w:tc>
        <w:tc>
          <w:tcPr>
            <w:tcW w:w="760" w:type="dxa"/>
            <w:vAlign w:val="center"/>
          </w:tcPr>
          <w:p>
            <w:pPr>
              <w:spacing w:before="20" w:after="20"/>
              <w:jc w:val="right"/>
            </w:pPr>
            <w:r>
              <w:rPr>
                <w:sz w:val="14"/>
                <w:szCs w:val="14"/>
              </w:rPr>
              <w:t xml:space="preserve">24,6</w:t>
            </w:r>
          </w:p>
        </w:tc>
        <w:tc>
          <w:tcPr>
            <w:tcW w:w="760" w:type="dxa"/>
            <w:vAlign w:val="center"/>
          </w:tcPr>
          <w:p>
            <w:pPr>
              <w:spacing w:before="20" w:after="20"/>
              <w:jc w:val="right"/>
            </w:pPr>
            <w:r>
              <w:rPr>
                <w:sz w:val="14"/>
                <w:szCs w:val="14"/>
              </w:rPr>
              <w:t xml:space="preserve">30,1</w:t>
            </w:r>
          </w:p>
        </w:tc>
        <w:tc>
          <w:tcPr>
            <w:tcW w:w="760" w:type="dxa"/>
            <w:vAlign w:val="center"/>
          </w:tcPr>
          <w:p>
            <w:pPr>
              <w:spacing w:before="20" w:after="20"/>
              <w:jc w:val="right"/>
            </w:pPr>
            <w:r>
              <w:rPr>
                <w:sz w:val="14"/>
                <w:szCs w:val="14"/>
              </w:rPr>
              <w:t xml:space="preserve">31,7</w:t>
            </w:r>
          </w:p>
        </w:tc>
        <w:tc>
          <w:tcPr>
            <w:tcW w:w="760" w:type="dxa"/>
            <w:vAlign w:val="center"/>
          </w:tcPr>
          <w:p>
            <w:pPr>
              <w:spacing w:before="20" w:after="20"/>
              <w:jc w:val="right"/>
            </w:pPr>
            <w:r>
              <w:rPr>
                <w:sz w:val="14"/>
                <w:szCs w:val="14"/>
              </w:rPr>
              <w:t xml:space="preserve">24,6</w:t>
            </w:r>
          </w:p>
        </w:tc>
        <w:tc>
          <w:tcPr>
            <w:tcW w:w="760" w:type="dxa"/>
            <w:vAlign w:val="center"/>
          </w:tcPr>
          <w:p>
            <w:pPr>
              <w:spacing w:before="20" w:after="20"/>
              <w:jc w:val="right"/>
            </w:pPr>
            <w:r>
              <w:rPr>
                <w:sz w:val="14"/>
                <w:szCs w:val="14"/>
              </w:rPr>
              <w:t xml:space="preserve">26,5</w:t>
            </w:r>
          </w:p>
        </w:tc>
        <w:tc>
          <w:tcPr>
            <w:tcW w:w="760" w:type="dxa"/>
            <w:vAlign w:val="center"/>
          </w:tcPr>
          <w:p>
            <w:pPr>
              <w:spacing w:before="20" w:after="20"/>
              <w:jc w:val="right"/>
            </w:pPr>
            <w:r>
              <w:rPr>
                <w:sz w:val="14"/>
                <w:szCs w:val="14"/>
              </w:rPr>
              <w:t xml:space="preserve">23,5</w:t>
            </w:r>
          </w:p>
        </w:tc>
        <w:tc>
          <w:tcPr>
            <w:tcW w:w="760" w:type="dxa"/>
            <w:vAlign w:val="center"/>
          </w:tcPr>
          <w:p>
            <w:pPr>
              <w:spacing w:before="20" w:after="20"/>
              <w:jc w:val="right"/>
            </w:pPr>
            <w:r>
              <w:rPr>
                <w:sz w:val="14"/>
                <w:szCs w:val="14"/>
              </w:rPr>
              <w:t xml:space="preserve">27,7</w:t>
            </w:r>
          </w:p>
        </w:tc>
        <w:tc>
          <w:tcPr>
            <w:tcW w:w="760" w:type="dxa"/>
            <w:vAlign w:val="center"/>
          </w:tcPr>
          <w:p>
            <w:pPr>
              <w:spacing w:before="20" w:after="20"/>
              <w:jc w:val="right"/>
            </w:pPr>
            <w:r>
              <w:rPr>
                <w:sz w:val="14"/>
                <w:szCs w:val="14"/>
              </w:rPr>
              <w:t xml:space="preserve">6,9</w:t>
            </w:r>
          </w:p>
        </w:tc>
        <w:tc>
          <w:tcPr>
            <w:tcW w:w="760" w:type="dxa"/>
            <w:vAlign w:val="center"/>
          </w:tcPr>
          <w:p>
            <w:pPr>
              <w:spacing w:before="20" w:after="20"/>
              <w:jc w:val="right"/>
            </w:pPr>
            <w:r>
              <w:rPr>
                <w:sz w:val="14"/>
                <w:szCs w:val="14"/>
              </w:rPr>
              <w:t xml:space="preserve">6,8</w:t>
            </w:r>
          </w:p>
        </w:tc>
        <w:tc>
          <w:tcPr>
            <w:tcW w:w="760" w:type="dxa"/>
            <w:vAlign w:val="center"/>
          </w:tcPr>
          <w:p>
            <w:pPr>
              <w:spacing w:before="20" w:after="20"/>
              <w:jc w:val="right"/>
            </w:pPr>
            <w:r>
              <w:rPr>
                <w:sz w:val="14"/>
                <w:szCs w:val="14"/>
              </w:rPr>
              <w:t xml:space="preserve">7,3</w:t>
            </w:r>
          </w:p>
        </w:tc>
        <w:tc>
          <w:tcPr>
            <w:tcW w:w="760" w:type="dxa"/>
            <w:vAlign w:val="center"/>
          </w:tcPr>
          <w:p>
            <w:pPr>
              <w:spacing w:before="20" w:after="20"/>
              <w:jc w:val="right"/>
            </w:pPr>
            <w:r>
              <w:rPr>
                <w:sz w:val="14"/>
                <w:szCs w:val="14"/>
              </w:rPr>
              <w:t xml:space="preserve">10,8</w:t>
            </w:r>
          </w:p>
        </w:tc>
        <w:tc>
          <w:tcPr>
            <w:tcW w:w="760" w:type="dxa"/>
            <w:vAlign w:val="center"/>
          </w:tcPr>
          <w:p>
            <w:pPr>
              <w:spacing w:before="20" w:after="20"/>
              <w:jc w:val="right"/>
            </w:pPr>
            <w:r>
              <w:rPr>
                <w:sz w:val="14"/>
                <w:szCs w:val="14"/>
              </w:rPr>
              <w:t xml:space="preserve">12,0</w:t>
            </w:r>
          </w:p>
        </w:tc>
      </w:tr>
      <w:tr>
        <w:trPr>
          <w:cantSplit/>
        </w:trPr>
        <w:tc>
          <w:tcPr>
            <w:tcW w:w="1700" w:type="dxa"/>
            <w:shd w:val="clear" w:color="auto" w:fill="F2F4F7"/>
            <w:vAlign w:val="center"/>
          </w:tcPr>
          <w:p>
            <w:pPr>
              <w:spacing w:before="20" w:after="20"/>
              <w:jc w:val="left"/>
            </w:pPr>
            <w:r>
              <w:rPr>
                <w:b/>
                <w:sz w:val="14"/>
                <w:szCs w:val="14"/>
              </w:rPr>
              <w:t xml:space="preserve">Thaïlande</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c>
          <w:tcPr>
            <w:tcW w:w="760" w:type="dxa"/>
            <w:shd w:val="clear" w:color="auto" w:fill="F2F4F7"/>
            <w:vAlign w:val="center"/>
          </w:tcPr>
          <w:p>
            <w:pPr>
              <w:spacing w:before="20" w:after="20"/>
              <w:jc w:val="right"/>
            </w:pPr>
            <w:r>
              <w:rPr>
                <w:sz w:val="14"/>
                <w:szCs w:val="14"/>
              </w:rPr>
              <w:t xml:space="preserve">0,0</w:t>
            </w:r>
          </w:p>
        </w:tc>
      </w:tr>
      <w:tr>
        <w:trPr>
          <w:cantSplit/>
        </w:trPr>
        <w:tc>
          <w:tcPr>
            <w:tcW w:w="1700" w:type="dxa"/>
            <w:vAlign w:val="center"/>
          </w:tcPr>
          <w:p>
            <w:pPr>
              <w:spacing w:before="20" w:after="20"/>
              <w:jc w:val="left"/>
            </w:pPr>
            <w:r>
              <w:rPr>
                <w:b/>
                <w:sz w:val="14"/>
                <w:szCs w:val="14"/>
              </w:rPr>
              <w:t xml:space="preserve">Papouasie-N.-G.</w:t>
            </w:r>
          </w:p>
        </w:tc>
        <w:tc>
          <w:tcPr>
            <w:tcW w:w="760" w:type="dxa"/>
            <w:vAlign w:val="center"/>
          </w:tcPr>
          <w:p>
            <w:pPr>
              <w:spacing w:before="20" w:after="20"/>
              <w:jc w:val="right"/>
            </w:pPr>
            <w:r>
              <w:rPr>
                <w:sz w:val="14"/>
                <w:szCs w:val="14"/>
              </w:rPr>
              <w:t xml:space="preserve">2,4</w:t>
            </w:r>
          </w:p>
        </w:tc>
        <w:tc>
          <w:tcPr>
            <w:tcW w:w="760" w:type="dxa"/>
            <w:vAlign w:val="center"/>
          </w:tcPr>
          <w:p>
            <w:pPr>
              <w:spacing w:before="20" w:after="20"/>
              <w:jc w:val="right"/>
            </w:pPr>
            <w:r>
              <w:rPr>
                <w:sz w:val="14"/>
                <w:szCs w:val="14"/>
              </w:rPr>
              <w:t xml:space="preserve">2,2</w:t>
            </w:r>
          </w:p>
        </w:tc>
        <w:tc>
          <w:tcPr>
            <w:tcW w:w="760" w:type="dxa"/>
            <w:vAlign w:val="center"/>
          </w:tcPr>
          <w:p>
            <w:pPr>
              <w:spacing w:before="20" w:after="20"/>
              <w:jc w:val="right"/>
            </w:pPr>
            <w:r>
              <w:rPr>
                <w:sz w:val="14"/>
                <w:szCs w:val="14"/>
              </w:rPr>
              <w:t xml:space="preserve">4,4</w:t>
            </w:r>
          </w:p>
        </w:tc>
        <w:tc>
          <w:tcPr>
            <w:tcW w:w="760" w:type="dxa"/>
            <w:vAlign w:val="center"/>
          </w:tcPr>
          <w:p>
            <w:pPr>
              <w:spacing w:before="20" w:after="20"/>
              <w:jc w:val="right"/>
            </w:pPr>
            <w:r>
              <w:rPr>
                <w:sz w:val="14"/>
                <w:szCs w:val="14"/>
              </w:rPr>
              <w:t xml:space="preserve">4,2</w:t>
            </w:r>
          </w:p>
        </w:tc>
        <w:tc>
          <w:tcPr>
            <w:tcW w:w="760" w:type="dxa"/>
            <w:vAlign w:val="center"/>
          </w:tcPr>
          <w:p>
            <w:pPr>
              <w:spacing w:before="20" w:after="20"/>
              <w:jc w:val="right"/>
            </w:pPr>
            <w:r>
              <w:rPr>
                <w:sz w:val="14"/>
                <w:szCs w:val="14"/>
              </w:rPr>
              <w:t xml:space="preserve">4,4</w:t>
            </w:r>
          </w:p>
        </w:tc>
        <w:tc>
          <w:tcPr>
            <w:tcW w:w="760" w:type="dxa"/>
            <w:vAlign w:val="center"/>
          </w:tcPr>
          <w:p>
            <w:pPr>
              <w:spacing w:before="20" w:after="20"/>
              <w:jc w:val="right"/>
            </w:pPr>
            <w:r>
              <w:rPr>
                <w:sz w:val="14"/>
                <w:szCs w:val="14"/>
              </w:rPr>
              <w:t xml:space="preserve">4,8</w:t>
            </w:r>
          </w:p>
        </w:tc>
        <w:tc>
          <w:tcPr>
            <w:tcW w:w="760" w:type="dxa"/>
            <w:vAlign w:val="center"/>
          </w:tcPr>
          <w:p>
            <w:pPr>
              <w:spacing w:before="20" w:after="20"/>
              <w:jc w:val="right"/>
            </w:pPr>
            <w:r>
              <w:rPr>
                <w:sz w:val="14"/>
                <w:szCs w:val="14"/>
              </w:rPr>
              <w:t xml:space="preserve">3,2</w:t>
            </w:r>
          </w:p>
        </w:tc>
        <w:tc>
          <w:tcPr>
            <w:tcW w:w="760" w:type="dxa"/>
            <w:vAlign w:val="center"/>
          </w:tcPr>
          <w:p>
            <w:pPr>
              <w:spacing w:before="20" w:after="20"/>
              <w:jc w:val="right"/>
            </w:pPr>
            <w:r>
              <w:rPr>
                <w:sz w:val="14"/>
                <w:szCs w:val="14"/>
              </w:rPr>
              <w:t xml:space="preserve">4,4</w:t>
            </w:r>
          </w:p>
        </w:tc>
        <w:tc>
          <w:tcPr>
            <w:tcW w:w="760" w:type="dxa"/>
            <w:vAlign w:val="center"/>
          </w:tcPr>
          <w:p>
            <w:pPr>
              <w:spacing w:before="20" w:after="20"/>
              <w:jc w:val="right"/>
            </w:pPr>
            <w:r>
              <w:rPr>
                <w:sz w:val="14"/>
                <w:szCs w:val="14"/>
              </w:rPr>
              <w:t xml:space="preserve">3,7</w:t>
            </w:r>
          </w:p>
        </w:tc>
        <w:tc>
          <w:tcPr>
            <w:tcW w:w="760" w:type="dxa"/>
            <w:vAlign w:val="center"/>
          </w:tcPr>
          <w:p>
            <w:pPr>
              <w:spacing w:before="20" w:after="20"/>
              <w:jc w:val="right"/>
            </w:pPr>
            <w:r>
              <w:rPr>
                <w:sz w:val="14"/>
                <w:szCs w:val="14"/>
              </w:rPr>
              <w:t xml:space="preserve">4,2</w:t>
            </w:r>
          </w:p>
        </w:tc>
        <w:tc>
          <w:tcPr>
            <w:tcW w:w="760" w:type="dxa"/>
            <w:vAlign w:val="center"/>
          </w:tcPr>
          <w:p>
            <w:pPr>
              <w:spacing w:before="20" w:after="20"/>
              <w:jc w:val="right"/>
            </w:pPr>
            <w:r>
              <w:rPr>
                <w:sz w:val="14"/>
                <w:szCs w:val="14"/>
              </w:rPr>
              <w:t xml:space="preserve">5,0</w:t>
            </w:r>
          </w:p>
        </w:tc>
        <w:tc>
          <w:tcPr>
            <w:tcW w:w="760" w:type="dxa"/>
            <w:vAlign w:val="center"/>
          </w:tcPr>
          <w:p>
            <w:pPr>
              <w:spacing w:before="20" w:after="20"/>
              <w:jc w:val="right"/>
            </w:pPr>
            <w:r>
              <w:rPr>
                <w:sz w:val="14"/>
                <w:szCs w:val="14"/>
              </w:rPr>
              <w:t xml:space="preserve">4,5</w:t>
            </w:r>
          </w:p>
        </w:tc>
        <w:tc>
          <w:tcPr>
            <w:tcW w:w="760" w:type="dxa"/>
            <w:vAlign w:val="center"/>
          </w:tcPr>
          <w:p>
            <w:pPr>
              <w:spacing w:before="20" w:after="20"/>
              <w:jc w:val="right"/>
            </w:pPr>
            <w:r>
              <w:rPr>
                <w:sz w:val="14"/>
                <w:szCs w:val="14"/>
              </w:rPr>
              <w:t xml:space="preserve">4,0</w:t>
            </w:r>
          </w:p>
        </w:tc>
        <w:tc>
          <w:tcPr>
            <w:tcW w:w="760" w:type="dxa"/>
            <w:vAlign w:val="center"/>
          </w:tcPr>
          <w:p>
            <w:pPr>
              <w:spacing w:before="20" w:after="20"/>
              <w:jc w:val="right"/>
            </w:pPr>
            <w:r>
              <w:rPr>
                <w:sz w:val="14"/>
                <w:szCs w:val="14"/>
              </w:rPr>
              <w:t xml:space="preserve">3,6</w:t>
            </w:r>
          </w:p>
        </w:tc>
        <w:tc>
          <w:tcPr>
            <w:tcW w:w="760" w:type="dxa"/>
            <w:vAlign w:val="center"/>
          </w:tcPr>
          <w:p>
            <w:pPr>
              <w:spacing w:before="20" w:after="20"/>
              <w:jc w:val="right"/>
            </w:pPr>
            <w:r>
              <w:rPr>
                <w:sz w:val="14"/>
                <w:szCs w:val="14"/>
              </w:rPr>
              <w:t xml:space="preserve">4,4</w:t>
            </w:r>
          </w:p>
        </w:tc>
        <w:tc>
          <w:tcPr>
            <w:tcW w:w="760" w:type="dxa"/>
            <w:vAlign w:val="center"/>
          </w:tcPr>
          <w:p>
            <w:pPr>
              <w:spacing w:before="20" w:after="20"/>
              <w:jc w:val="right"/>
            </w:pPr>
            <w:r>
              <w:rPr>
                <w:sz w:val="14"/>
                <w:szCs w:val="14"/>
              </w:rPr>
              <w:t xml:space="preserve">4,4</w:t>
            </w:r>
          </w:p>
        </w:tc>
        <w:tc>
          <w:tcPr>
            <w:tcW w:w="760" w:type="dxa"/>
            <w:vAlign w:val="center"/>
          </w:tcPr>
          <w:p>
            <w:pPr>
              <w:spacing w:before="20" w:after="20"/>
              <w:jc w:val="right"/>
            </w:pPr>
            <w:r>
              <w:rPr>
                <w:sz w:val="14"/>
                <w:szCs w:val="14"/>
              </w:rPr>
              <w:t xml:space="preserve">4,4</w:t>
            </w:r>
          </w:p>
        </w:tc>
      </w:tr>
      <w:tr>
        <w:trPr>
          <w:cantSplit/>
        </w:trPr>
        <w:tc>
          <w:tcPr>
            <w:tcW w:w="1700" w:type="dxa"/>
            <w:shd w:val="clear" w:color="auto" w:fill="F2F4F7"/>
            <w:vAlign w:val="center"/>
          </w:tcPr>
          <w:p>
            <w:pPr>
              <w:spacing w:before="20" w:after="20"/>
              <w:jc w:val="left"/>
            </w:pPr>
            <w:r>
              <w:rPr>
                <w:b/>
                <w:sz w:val="14"/>
                <w:szCs w:val="14"/>
              </w:rPr>
              <w:t xml:space="preserve">Salvador</w:t>
            </w:r>
          </w:p>
        </w:tc>
        <w:tc>
          <w:tcPr>
            <w:tcW w:w="760" w:type="dxa"/>
            <w:shd w:val="clear" w:color="auto" w:fill="F2F4F7"/>
            <w:vAlign w:val="center"/>
          </w:tcPr>
          <w:p>
            <w:pPr>
              <w:spacing w:before="20" w:after="20"/>
              <w:jc w:val="right"/>
            </w:pPr>
            <w:r>
              <w:rPr>
                <w:sz w:val="14"/>
                <w:szCs w:val="14"/>
              </w:rPr>
              <w:t xml:space="preserve">0,6</w:t>
            </w:r>
          </w:p>
        </w:tc>
        <w:tc>
          <w:tcPr>
            <w:tcW w:w="760" w:type="dxa"/>
            <w:shd w:val="clear" w:color="auto" w:fill="F2F4F7"/>
            <w:vAlign w:val="center"/>
          </w:tcPr>
          <w:p>
            <w:pPr>
              <w:spacing w:before="20" w:after="20"/>
              <w:jc w:val="right"/>
            </w:pPr>
            <w:r>
              <w:rPr>
                <w:sz w:val="14"/>
                <w:szCs w:val="14"/>
              </w:rPr>
              <w:t xml:space="preserve">1,3</w:t>
            </w:r>
          </w:p>
        </w:tc>
        <w:tc>
          <w:tcPr>
            <w:tcW w:w="760" w:type="dxa"/>
            <w:shd w:val="clear" w:color="auto" w:fill="F2F4F7"/>
            <w:vAlign w:val="center"/>
          </w:tcPr>
          <w:p>
            <w:pPr>
              <w:spacing w:before="20" w:after="20"/>
              <w:jc w:val="right"/>
            </w:pPr>
            <w:r>
              <w:rPr>
                <w:sz w:val="14"/>
                <w:szCs w:val="14"/>
              </w:rPr>
              <w:t xml:space="preserve">1,3</w:t>
            </w:r>
          </w:p>
        </w:tc>
        <w:tc>
          <w:tcPr>
            <w:tcW w:w="760" w:type="dxa"/>
            <w:shd w:val="clear" w:color="auto" w:fill="F2F4F7"/>
            <w:vAlign w:val="center"/>
          </w:tcPr>
          <w:p>
            <w:pPr>
              <w:spacing w:before="20" w:after="20"/>
              <w:jc w:val="right"/>
            </w:pPr>
            <w:r>
              <w:rPr>
                <w:sz w:val="14"/>
                <w:szCs w:val="14"/>
              </w:rPr>
              <w:t xml:space="preserve">1,7</w:t>
            </w:r>
          </w:p>
        </w:tc>
        <w:tc>
          <w:tcPr>
            <w:tcW w:w="760" w:type="dxa"/>
            <w:shd w:val="clear" w:color="auto" w:fill="F2F4F7"/>
            <w:vAlign w:val="center"/>
          </w:tcPr>
          <w:p>
            <w:pPr>
              <w:spacing w:before="20" w:after="20"/>
              <w:jc w:val="right"/>
            </w:pPr>
            <w:r>
              <w:rPr>
                <w:sz w:val="14"/>
                <w:szCs w:val="14"/>
              </w:rPr>
              <w:t xml:space="preserve">2,1</w:t>
            </w:r>
          </w:p>
        </w:tc>
        <w:tc>
          <w:tcPr>
            <w:tcW w:w="760" w:type="dxa"/>
            <w:shd w:val="clear" w:color="auto" w:fill="F2F4F7"/>
            <w:vAlign w:val="center"/>
          </w:tcPr>
          <w:p>
            <w:pPr>
              <w:spacing w:before="20" w:after="20"/>
              <w:jc w:val="right"/>
            </w:pPr>
            <w:r>
              <w:rPr>
                <w:sz w:val="14"/>
                <w:szCs w:val="14"/>
              </w:rPr>
              <w:t xml:space="preserve">1,7</w:t>
            </w:r>
          </w:p>
        </w:tc>
        <w:tc>
          <w:tcPr>
            <w:tcW w:w="760" w:type="dxa"/>
            <w:shd w:val="clear" w:color="auto" w:fill="F2F4F7"/>
            <w:vAlign w:val="center"/>
          </w:tcPr>
          <w:p>
            <w:pPr>
              <w:spacing w:before="20" w:after="20"/>
              <w:jc w:val="right"/>
            </w:pPr>
            <w:r>
              <w:rPr>
                <w:sz w:val="14"/>
                <w:szCs w:val="14"/>
              </w:rPr>
              <w:t xml:space="preserve">3,6</w:t>
            </w:r>
          </w:p>
        </w:tc>
        <w:tc>
          <w:tcPr>
            <w:tcW w:w="760" w:type="dxa"/>
            <w:shd w:val="clear" w:color="auto" w:fill="F2F4F7"/>
            <w:vAlign w:val="center"/>
          </w:tcPr>
          <w:p>
            <w:pPr>
              <w:spacing w:before="20" w:after="20"/>
              <w:jc w:val="right"/>
            </w:pPr>
            <w:r>
              <w:rPr>
                <w:sz w:val="14"/>
                <w:szCs w:val="14"/>
              </w:rPr>
              <w:t xml:space="preserve">3,2</w:t>
            </w:r>
          </w:p>
        </w:tc>
        <w:tc>
          <w:tcPr>
            <w:tcW w:w="760" w:type="dxa"/>
            <w:shd w:val="clear" w:color="auto" w:fill="F2F4F7"/>
            <w:vAlign w:val="center"/>
          </w:tcPr>
          <w:p>
            <w:pPr>
              <w:spacing w:before="20" w:after="20"/>
              <w:jc w:val="right"/>
            </w:pPr>
            <w:r>
              <w:rPr>
                <w:sz w:val="14"/>
                <w:szCs w:val="14"/>
              </w:rPr>
              <w:t xml:space="preserve">4,7</w:t>
            </w:r>
          </w:p>
        </w:tc>
        <w:tc>
          <w:tcPr>
            <w:tcW w:w="760" w:type="dxa"/>
            <w:shd w:val="clear" w:color="auto" w:fill="F2F4F7"/>
            <w:vAlign w:val="center"/>
          </w:tcPr>
          <w:p>
            <w:pPr>
              <w:spacing w:before="20" w:after="20"/>
              <w:jc w:val="right"/>
            </w:pPr>
            <w:r>
              <w:rPr>
                <w:sz w:val="14"/>
                <w:szCs w:val="14"/>
              </w:rPr>
              <w:t xml:space="preserve">1,1</w:t>
            </w:r>
          </w:p>
        </w:tc>
        <w:tc>
          <w:tcPr>
            <w:tcW w:w="760" w:type="dxa"/>
            <w:shd w:val="clear" w:color="auto" w:fill="F2F4F7"/>
            <w:vAlign w:val="center"/>
          </w:tcPr>
          <w:p>
            <w:pPr>
              <w:spacing w:before="20" w:after="20"/>
              <w:jc w:val="right"/>
            </w:pPr>
            <w:r>
              <w:rPr>
                <w:sz w:val="14"/>
                <w:szCs w:val="14"/>
              </w:rPr>
              <w:t xml:space="preserve">2,8</w:t>
            </w:r>
          </w:p>
        </w:tc>
        <w:tc>
          <w:tcPr>
            <w:tcW w:w="760" w:type="dxa"/>
            <w:shd w:val="clear" w:color="auto" w:fill="F2F4F7"/>
            <w:vAlign w:val="center"/>
          </w:tcPr>
          <w:p>
            <w:pPr>
              <w:spacing w:before="20" w:after="20"/>
              <w:jc w:val="right"/>
            </w:pPr>
            <w:r>
              <w:rPr>
                <w:sz w:val="14"/>
                <w:szCs w:val="14"/>
              </w:rPr>
              <w:t xml:space="preserve">1,7</w:t>
            </w:r>
          </w:p>
        </w:tc>
        <w:tc>
          <w:tcPr>
            <w:tcW w:w="760" w:type="dxa"/>
            <w:shd w:val="clear" w:color="auto" w:fill="F2F4F7"/>
            <w:vAlign w:val="center"/>
          </w:tcPr>
          <w:p>
            <w:pPr>
              <w:spacing w:before="20" w:after="20"/>
              <w:jc w:val="right"/>
            </w:pPr>
            <w:r>
              <w:rPr>
                <w:sz w:val="14"/>
                <w:szCs w:val="14"/>
              </w:rPr>
              <w:t xml:space="preserve">1,3</w:t>
            </w:r>
          </w:p>
        </w:tc>
        <w:tc>
          <w:tcPr>
            <w:tcW w:w="760" w:type="dxa"/>
            <w:shd w:val="clear" w:color="auto" w:fill="F2F4F7"/>
            <w:vAlign w:val="center"/>
          </w:tcPr>
          <w:p>
            <w:pPr>
              <w:spacing w:before="20" w:after="20"/>
              <w:jc w:val="right"/>
            </w:pPr>
            <w:r>
              <w:rPr>
                <w:sz w:val="14"/>
                <w:szCs w:val="14"/>
              </w:rPr>
              <w:t xml:space="preserve">13,8</w:t>
            </w:r>
          </w:p>
        </w:tc>
        <w:tc>
          <w:tcPr>
            <w:tcW w:w="760" w:type="dxa"/>
            <w:shd w:val="clear" w:color="auto" w:fill="F2F4F7"/>
            <w:vAlign w:val="center"/>
          </w:tcPr>
          <w:p>
            <w:pPr>
              <w:spacing w:before="20" w:after="20"/>
              <w:jc w:val="right"/>
            </w:pPr>
            <w:r>
              <w:rPr>
                <w:sz w:val="14"/>
                <w:szCs w:val="14"/>
              </w:rPr>
              <w:t xml:space="preserve">19,9</w:t>
            </w:r>
          </w:p>
        </w:tc>
        <w:tc>
          <w:tcPr>
            <w:tcW w:w="760" w:type="dxa"/>
            <w:shd w:val="clear" w:color="auto" w:fill="F2F4F7"/>
            <w:vAlign w:val="center"/>
          </w:tcPr>
          <w:p>
            <w:pPr>
              <w:spacing w:before="20" w:after="20"/>
              <w:jc w:val="right"/>
            </w:pPr>
            <w:r>
              <w:rPr>
                <w:sz w:val="14"/>
                <w:szCs w:val="14"/>
              </w:rPr>
              <w:t xml:space="preserve">17,0</w:t>
            </w:r>
          </w:p>
        </w:tc>
        <w:tc>
          <w:tcPr>
            <w:tcW w:w="760" w:type="dxa"/>
            <w:shd w:val="clear" w:color="auto" w:fill="F2F4F7"/>
            <w:vAlign w:val="center"/>
          </w:tcPr>
          <w:p>
            <w:pPr>
              <w:spacing w:before="20" w:after="20"/>
              <w:jc w:val="right"/>
            </w:pPr>
            <w:r>
              <w:rPr>
                <w:sz w:val="14"/>
                <w:szCs w:val="14"/>
              </w:rPr>
              <w:t xml:space="preserve">9,0</w:t>
            </w:r>
          </w:p>
        </w:tc>
      </w:tr>
    </w:tbl>
    <w:p>
      <w:pPr>
        <w:spacing w:after="60"/>
      </w:pPr>
      <w:r>
        <w:t xml:space="preserve"/>
      </w:r>
    </w:p>
    <w:sectPr>
      <w:footerReference w:type="default" r:id="rIdFtr"/>
      <w:pgSz w:w="16838" w:h="11906" w:orient="landscape"/>
      <w:pgMar w:top="1134" w:right="1021" w:bottom="1134" w:left="1021" w:header="567" w:footer="567" w:gutter="0"/>
      <w:cols w:space="708"/>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rPr>
        <w:color w:val="7F7F7F"/>
        <w:sz w:val="16"/>
      </w:rPr>
      <w:t xml:space="preserve">Bilan STU café et prix · page </w:t>
    </w:r>
    <w:r>
      <w:rPr>
        <w:color w:val="7F7F7F"/>
        <w:sz w:val="16"/>
      </w:rPr>
      <w:fldChar w:fldCharType="begin"/>
    </w:r>
    <w:r>
      <w:rPr>
        <w:color w:val="7F7F7F"/>
        <w:sz w:val="16"/>
      </w:rPr>
      <w:instrText xml:space="preserve"> PAGE </w:instrText>
    </w:r>
    <w:r>
      <w:rPr>
        <w:color w:val="7F7F7F"/>
        <w:sz w:val="16"/>
      </w:rPr>
      <w:fldChar w:fldCharType="separate"/>
    </w:r>
    <w:r>
      <w:rPr>
        <w:color w:val="7F7F7F"/>
        <w:sz w:val="16"/>
      </w:rPr>
      <w:t>1</w:t>
    </w:r>
    <w:r>
      <w:rPr>
        <w:color w:val="7F7F7F"/>
        <w:sz w:val="16"/>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40"/>
      </w:pPr>
    </w:lvl>
  </w:abstractNum>
  <w:num w:numId="1">
    <w:abstractNumId w:val="0"/>
  </w:num>
</w:numbering>
</file>

<file path=word/styles.xml><?xml version="1.0" encoding="utf-8"?>
<w:styles xmlns:w="http://schemas.openxmlformats.org/wordprocessingml/2006/main">
  <w:docDefaults>
    <w:rPrDefault>
      <w:rPr>
        <w:rFonts w:ascii="Arial" w:hAnsi="Arial" w:eastAsia="Arial" w:cs="Arial"/>
        <w:sz w:val="20"/>
        <w:szCs w:val="20"/>
        <w:lang w:val="fr-FR"/>
      </w:rPr>
    </w:rPrDefault>
    <w:pPrDefault>
      <w:pPr>
        <w:spacing w:after="120" w:line="264" w:lineRule="auto"/>
      </w:pPr>
    </w:pPrDefault>
  </w:docDefaults>
  <w:style w:type="paragraph" w:styleId="Normal">
    <w:name w:val="Normal"/>
    <w:qFormat/>
  </w:style>
  <w:style w:type="paragraph" w:styleId="Title">
    <w:name w:val="Title"/>
    <w:basedOn w:val="Normal"/>
    <w:next w:val="Normal"/>
    <w:qFormat/>
    <w:pPr>
      <w:spacing w:after="60"/>
    </w:pPr>
    <w:rPr>
      <w:b/>
      <w:color w:val="1F3864"/>
      <w:sz w:val="40"/>
      <w:szCs w:val="40"/>
    </w:rPr>
  </w:style>
  <w:style w:type="paragraph" w:styleId="Subtitle">
    <w:name w:val="Subtitle"/>
    <w:basedOn w:val="Normal"/>
    <w:next w:val="Normal"/>
    <w:qFormat/>
    <w:pPr>
      <w:spacing w:after="240"/>
    </w:pPr>
    <w:rPr>
      <w:i/>
      <w:color w:val="595959"/>
      <w:sz w:val="20"/>
    </w:rPr>
  </w:style>
  <w:style w:type="paragraph" w:styleId="Heading1">
    <w:name w:val="heading 1"/>
    <w:basedOn w:val="Normal"/>
    <w:next w:val="Normal"/>
    <w:qFormat/>
    <w:pPr>
      <w:keepNext/>
      <w:spacing w:before="360" w:after="120"/>
      <w:outlineLvl w:val="0"/>
    </w:pPr>
    <w:rPr>
      <w:b/>
      <w:color w:val="1F3864"/>
      <w:sz w:val="30"/>
      <w:szCs w:val="30"/>
    </w:rPr>
  </w:style>
  <w:style w:type="paragraph" w:styleId="Heading2">
    <w:name w:val="heading 2"/>
    <w:basedOn w:val="Normal"/>
    <w:next w:val="Normal"/>
    <w:qFormat/>
    <w:pPr>
      <w:keepNext/>
      <w:spacing w:before="240" w:after="80"/>
      <w:outlineLvl w:val="1"/>
    </w:pPr>
    <w:rPr>
      <w:b/>
      <w:color w:val="2F5597"/>
      <w:sz w:val="24"/>
      <w:szCs w:val="24"/>
    </w:rPr>
  </w:style>
  <w:style w:type="paragraph" w:styleId="Caption">
    <w:name w:val="caption"/>
    <w:basedOn w:val="Normal"/>
    <w:next w:val="Normal"/>
    <w:qFormat/>
    <w:pPr>
      <w:spacing w:after="200"/>
    </w:pPr>
    <w:rPr>
      <w:i/>
      <w:color w:val="595959"/>
      <w:sz w:val="17"/>
    </w:rPr>
  </w:style>
  <w:style w:type="paragraph" w:styleId="Note">
    <w:name w:val="Note"/>
    <w:basedOn w:val="Normal"/>
    <w:next w:val="Normal"/>
    <w:qFormat/>
    <w:pPr>
      <w:spacing w:after="120"/>
    </w:pPr>
    <w:rPr>
      <w:color w:val="595959"/>
      <w:sz w:val="17"/>
    </w:rPr>
  </w:style>
  <w:style w:type="paragraph" w:styleId="Figure">
    <w:name w:val="Figure"/>
    <w:basedOn w:val="Normal"/>
    <w:next w:val="Normal"/>
    <w:qFormat/>
    <w:pPr>
      <w:spacing w:before="120" w:after="40"/>
      <w:jc w:val="center"/>
    </w:pPr>
  </w:style>
  <w:style w:type="paragraph" w:styleId="ListBullet">
    <w:name w:val="List Bullet"/>
    <w:basedOn w:val="Normal"/>
    <w:next w:val="ListBullet"/>
    <w:qFormat/>
    <w:pPr>
      <w:spacing w:after="60"/>
      <w:ind w:left="360" w:hanging="240"/>
    </w:pPr>
  </w:style>
  <w:style w:type="table" w:styleId="Grille">
    <w:name w:val="Grille"/>
    <w:tblPr>
      <w:tblCellMar>
        <w:left w:w="70" w:type="dxa"/>
        <w:right w:w="70" w:type="dxa"/>
      </w:tblCellMar>
    </w:tblPr>
  </w:style>
</w:styles>
</file>

<file path=word/_rels/document.xml.rels><?xml version="1.0" encoding="UTF-8" standalone="yes"?>
<Relationships xmlns="http://schemas.openxmlformats.org/package/2006/relationships"><Relationship Id="rIdSty" Type="http://schemas.openxmlformats.org/officeDocument/2006/relationships/styles" Target="styles.xml"/><Relationship Id="rIdNum" Type="http://schemas.openxmlformats.org/officeDocument/2006/relationships/numbering" Target="numbering.xml"/><Relationship Id="rIdFt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Bilan STU café et prix</dc:title>
  <dc:creator>Claude</dc:creator>
  <dcterms:created xsi:type="dcterms:W3CDTF">2026-09-30T22:32:32Z</dcterms:created>
  <dcterms:modified xsi:type="dcterms:W3CDTF">2026-09-30T22:32:32Z</dcterms:modified>
</cp:coreProperties>
</file>