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-4.5 % par rapport aux campagnes voisines sur 7 campagnes (86 % d'entre elles sous la moyenne) ; El Niño fort : -7.2 % (4 campagnes, 100 % sous la moyenne). La Niña : +0.1 % (10 campagnes).</w:t>
      </w:r>
    </w:p>
    <w:p>
      <w:pPr>
        <w:pStyle w:val="ListBullet"/>
      </w:pPr>
      <w:r>
        <w:rPr>
          <w:sz w:val="20"/>
        </w:rPr>
        <w:t>El Niño fort (pic ≥ 1,6 : épisodes 2009/10, 2015/16, campagnes suivantes 2010/11, 2016/17) : Minas Gerais -116 mm et +0.4 °C, Espírito Santo -277 mm et +0.8 °C. Robusta -18.4 % par rapport à l'attendu, arabica +2.2 % (années ON, qui tiennent grâce au cycle), total -3.4 %.</w:t>
      </w:r>
    </w:p>
    <w:p>
      <w:pPr>
        <w:pStyle w:val="ListBullet"/>
      </w:pPr>
      <w:r>
        <w:rPr>
          <w:sz w:val="20"/>
        </w:rPr>
        <w:t>El Niño ordinaire (pic entre 0,6 et 1,6, 2023/24 inclus : 2002/03, 2004/05, 2006/07, 2018/19, 2023/24) : arabica -4.4 %, robusta -2.9 %, total -4.1 % ; Minas Gerais -6 mm, Espírito Santo -0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(-3.9 %) : 67 310.</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928"/>
          </w:tcPr>
          <w:p>
            <w:r/>
            <w:r>
              <w:rPr>
                <w:sz w:val="16"/>
              </w:rPr>
              <w:t>El Niño 2002/03 (+1.3)</w:t>
            </w:r>
          </w:p>
        </w:tc>
        <w:tc>
          <w:tcPr>
            <w:tcW w:type="dxa" w:w="4082"/>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(-1.0)</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(+2.6)</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(-0.2)</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(-1.0)</w:t>
            </w:r>
          </w:p>
        </w:tc>
        <w:tc>
          <w:tcPr>
            <w:tcW w:type="dxa" w:w="4082"/>
          </w:tcPr>
          <w:p>
            <w:r/>
            <w:r>
              <w:rPr>
                <w:sz w:val="16"/>
              </w:rPr>
            </w:r>
          </w:p>
        </w:tc>
      </w:tr>
    </w:tbl>
    <w:p/>
    <w:p>
      <w:r>
        <w:rPr>
          <w:b w:val="0"/>
          <w:i w:val="0"/>
          <w:sz w:val="20"/>
        </w:rPr>
        <w:t>Sur 22 campagnes, 14 ont une production sous la moyenne de leurs voisines ; écart-type des écarts 9.5 %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L'épisode 2014/15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ordinaire</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+150 mm / -0.3 °C</w:t>
            </w:r>
          </w:p>
        </w:tc>
        <w:tc>
          <w:tcPr>
            <w:tcW w:type="dxa" w:w="1247"/>
          </w:tcPr>
          <w:p>
            <w:r/>
            <w:r>
              <w:rPr>
                <w:sz w:val="14"/>
              </w:rPr>
              <w:t>-196 mm / +0.2 °C</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+141 mm / -0.5 °C</w:t>
            </w:r>
          </w:p>
        </w:tc>
        <w:tc>
          <w:tcPr>
            <w:tcW w:type="dxa" w:w="1247"/>
          </w:tcPr>
          <w:p>
            <w:r/>
            <w:r>
              <w:rPr>
                <w:sz w:val="14"/>
              </w:rPr>
              <w:t>+405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-13 mm / -0.5 °C</w:t>
            </w:r>
          </w:p>
        </w:tc>
        <w:tc>
          <w:tcPr>
            <w:tcW w:type="dxa" w:w="1247"/>
          </w:tcPr>
          <w:p>
            <w:r/>
            <w:r>
              <w:rPr>
                <w:sz w:val="14"/>
              </w:rPr>
              <w:t>-25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+134 mm / -0.5 °C</w:t>
            </w:r>
          </w:p>
        </w:tc>
        <w:tc>
          <w:tcPr>
            <w:tcW w:type="dxa" w:w="1247"/>
          </w:tcPr>
          <w:p>
            <w:r/>
            <w:r>
              <w:rPr>
                <w:sz w:val="14"/>
              </w:rPr>
              <w:t>+149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+63 mm / -0.5 °C</w:t>
            </w:r>
          </w:p>
        </w:tc>
        <w:tc>
          <w:tcPr>
            <w:tcW w:type="dxa" w:w="1247"/>
          </w:tcPr>
          <w:p>
            <w:r/>
            <w:r>
              <w:rPr>
                <w:sz w:val="14"/>
              </w:rPr>
              <w:t>-220 mm / +0.0 °C</w:t>
            </w:r>
          </w:p>
        </w:tc>
      </w:tr>
      <w:tr>
        <w:tc>
          <w:tcPr>
            <w:tcW w:type="dxa" w:w="1247"/>
          </w:tcPr>
          <w:p>
            <w:r/>
            <w:r>
              <w:rPr>
                <w:sz w:val="14"/>
              </w:rPr>
              <w:t>2008/09 (-0.8)</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+288 mm / -0.5 °C</w:t>
            </w:r>
          </w:p>
        </w:tc>
        <w:tc>
          <w:tcPr>
            <w:tcW w:type="dxa" w:w="1247"/>
          </w:tcPr>
          <w:p>
            <w:r/>
            <w:r>
              <w:rPr>
                <w:sz w:val="14"/>
              </w:rPr>
              <w:t>+254 mm / -0.3 °C</w:t>
            </w:r>
          </w:p>
        </w:tc>
      </w:tr>
      <w:tr>
        <w:tc>
          <w:tcPr>
            <w:tcW w:type="dxa" w:w="1247"/>
          </w:tcPr>
          <w:p>
            <w:r/>
            <w:r>
              <w:rPr>
                <w:sz w:val="14"/>
              </w:rPr>
              <w:t>2009/10 (+1.6)</w:t>
            </w:r>
          </w:p>
        </w:tc>
        <w:tc>
          <w:tcPr>
            <w:tcW w:type="dxa" w:w="1474"/>
          </w:tcPr>
          <w:p>
            <w:r/>
            <w:r>
              <w:rPr>
                <w:sz w:val="14"/>
              </w:rPr>
              <w:t>El Niño fort</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-108 mm / -0.1 °C</w:t>
            </w:r>
          </w:p>
        </w:tc>
        <w:tc>
          <w:tcPr>
            <w:tcW w:type="dxa" w:w="1247"/>
          </w:tcPr>
          <w:p>
            <w:r/>
            <w:r>
              <w:rPr>
                <w:sz w:val="14"/>
              </w:rPr>
              <w:t>-69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+150 mm / -0.6 °C</w:t>
            </w:r>
          </w:p>
        </w:tc>
        <w:tc>
          <w:tcPr>
            <w:tcW w:type="dxa" w:w="1247"/>
          </w:tcPr>
          <w:p>
            <w:r/>
            <w:r>
              <w:rPr>
                <w:sz w:val="14"/>
              </w:rPr>
              <w:t>+182 mm / -0.7 °C</w:t>
            </w:r>
          </w:p>
        </w:tc>
      </w:tr>
      <w:tr>
        <w:tc>
          <w:tcPr>
            <w:tcW w:type="dxa" w:w="1247"/>
          </w:tcPr>
          <w:p>
            <w:r/>
            <w:r>
              <w:rPr>
                <w:sz w:val="14"/>
              </w:rPr>
              <w:t>2011/12 (-1.1)</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+20 mm / -0.7 °C</w:t>
            </w:r>
          </w:p>
        </w:tc>
        <w:tc>
          <w:tcPr>
            <w:tcW w:type="dxa" w:w="1247"/>
          </w:tcPr>
          <w:p>
            <w:r/>
            <w:r>
              <w:rPr>
                <w:sz w:val="14"/>
              </w:rPr>
              <w:t>+113 mm / -0.7 °C</w:t>
            </w:r>
          </w:p>
        </w:tc>
      </w:tr>
      <w:tr>
        <w:tc>
          <w:tcPr>
            <w:tcW w:type="dxa" w:w="1247"/>
          </w:tcPr>
          <w:p>
            <w:r/>
            <w:r>
              <w:rPr>
                <w:sz w:val="14"/>
              </w:rPr>
              <w:t>2015/16 (+2.6)</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-124 mm / +0.8 °C</w:t>
            </w:r>
          </w:p>
        </w:tc>
        <w:tc>
          <w:tcPr>
            <w:tcW w:type="dxa" w:w="1247"/>
          </w:tcPr>
          <w:p>
            <w:r/>
            <w:r>
              <w:rPr>
                <w:sz w:val="14"/>
              </w:rPr>
              <w:t>-484 mm / +1.3 °C</w:t>
            </w:r>
          </w:p>
        </w:tc>
      </w:tr>
      <w:tr>
        <w:tc>
          <w:tcPr>
            <w:tcW w:type="dxa" w:w="1247"/>
          </w:tcPr>
          <w:p>
            <w:r/>
            <w:r>
              <w:rPr>
                <w:sz w:val="14"/>
              </w:rPr>
              <w:t>2016/17 (-0.7)</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-215 mm / +0.1 °C</w:t>
            </w:r>
          </w:p>
        </w:tc>
        <w:tc>
          <w:tcPr>
            <w:tcW w:type="dxa" w:w="1247"/>
          </w:tcPr>
          <w:p>
            <w:r/>
            <w:r>
              <w:rPr>
                <w:sz w:val="14"/>
              </w:rPr>
              <w:t>-85 mm / -0.2 °C</w:t>
            </w:r>
          </w:p>
        </w:tc>
      </w:tr>
      <w:tr>
        <w:tc>
          <w:tcPr>
            <w:tcW w:type="dxa" w:w="1247"/>
          </w:tcPr>
          <w:p>
            <w:r/>
            <w:r>
              <w:rPr>
                <w:sz w:val="14"/>
              </w:rPr>
              <w:t>2017/18 (-1.0)</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-75 mm / +0.1 °C</w:t>
            </w:r>
          </w:p>
        </w:tc>
        <w:tc>
          <w:tcPr>
            <w:tcW w:type="dxa" w:w="1247"/>
          </w:tcPr>
          <w:p>
            <w:r/>
            <w:r>
              <w:rPr>
                <w:sz w:val="14"/>
              </w:rPr>
              <w:t>+32 mm / -0.1 °C</w:t>
            </w:r>
          </w:p>
        </w:tc>
      </w:tr>
      <w:tr>
        <w:tc>
          <w:tcPr>
            <w:tcW w:type="dxa" w:w="1247"/>
          </w:tcPr>
          <w:p>
            <w:r/>
            <w:r>
              <w:rPr>
                <w:sz w:val="14"/>
              </w:rPr>
              <w:t>2018/19 (+0.9)</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-2 mm / +0.5 °C</w:t>
            </w:r>
          </w:p>
        </w:tc>
        <w:tc>
          <w:tcPr>
            <w:tcW w:type="dxa" w:w="1247"/>
          </w:tcPr>
          <w:p>
            <w:r/>
            <w:r>
              <w:rPr>
                <w:sz w:val="14"/>
              </w:rPr>
              <w:t>-19 mm / +0.6 °C</w:t>
            </w:r>
          </w:p>
        </w:tc>
      </w:tr>
      <w:tr>
        <w:tc>
          <w:tcPr>
            <w:tcW w:type="dxa" w:w="1247"/>
          </w:tcPr>
          <w:p>
            <w:r/>
            <w:r>
              <w:rPr>
                <w:sz w:val="14"/>
              </w:rPr>
              <w:t>2020/21 (-1.3)</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-373 mm / +0.8 °C</w:t>
            </w:r>
          </w:p>
        </w:tc>
        <w:tc>
          <w:tcPr>
            <w:tcW w:type="dxa" w:w="1247"/>
          </w:tcPr>
          <w:p>
            <w:r/>
            <w:r>
              <w:rPr>
                <w:sz w:val="14"/>
              </w:rPr>
              <w:t>-202 mm / +0.3 °C</w:t>
            </w:r>
          </w:p>
        </w:tc>
      </w:tr>
      <w:tr>
        <w:tc>
          <w:tcPr>
            <w:tcW w:type="dxa" w:w="1247"/>
          </w:tcPr>
          <w:p>
            <w:r/>
            <w:r>
              <w:rPr>
                <w:sz w:val="14"/>
              </w:rPr>
              <w:t>2021/22 (-1.0)</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+165 mm / -0.4 °C</w:t>
            </w:r>
          </w:p>
        </w:tc>
        <w:tc>
          <w:tcPr>
            <w:tcW w:type="dxa" w:w="1247"/>
          </w:tcPr>
          <w:p>
            <w:r/>
            <w:r>
              <w:rPr>
                <w:sz w:val="14"/>
              </w:rPr>
              <w:t>+20 mm / -0.1 °C</w:t>
            </w:r>
          </w:p>
        </w:tc>
      </w:tr>
      <w:tr>
        <w:tc>
          <w:tcPr>
            <w:tcW w:type="dxa" w:w="1247"/>
          </w:tcPr>
          <w:p>
            <w:r/>
            <w:r>
              <w:rPr>
                <w:sz w:val="14"/>
              </w:rPr>
              <w:t>2022/23 (-1.0)</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-23 mm / +0.1 °C</w:t>
            </w:r>
          </w:p>
        </w:tc>
        <w:tc>
          <w:tcPr>
            <w:tcW w:type="dxa" w:w="1247"/>
          </w:tcPr>
          <w:p>
            <w:r/>
            <w:r>
              <w:rPr>
                <w:sz w:val="14"/>
              </w:rPr>
              <w:t>+60 mm / +0.2 °C</w:t>
            </w:r>
          </w:p>
        </w:tc>
      </w:tr>
      <w:tr>
        <w:tc>
          <w:tcPr>
            <w:tcW w:type="dxa" w:w="1247"/>
          </w:tcPr>
          <w:p>
            <w:r/>
            <w:r>
              <w:rPr>
                <w:sz w:val="14"/>
              </w:rPr>
              <w:t>2023/24 (+2.0)</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-452 mm / +2.4 °C</w:t>
            </w:r>
          </w:p>
        </w:tc>
        <w:tc>
          <w:tcPr>
            <w:tcW w:type="dxa" w:w="1247"/>
          </w:tcPr>
          <w:p>
            <w:r/>
            <w:r>
              <w:rPr>
                <w:sz w:val="14"/>
              </w:rPr>
              <w:t>-340 mm / +1.7 °C</w:t>
            </w:r>
          </w:p>
        </w:tc>
      </w:tr>
    </w:tbl>
    <w:p/>
    <w:p>
      <w:r>
        <w:rPr>
          <w:b/>
          <w:i w:val="0"/>
          <w:sz w:val="20"/>
        </w:rPr>
        <w:t>Ta convention (index RONI de la saison de croissance, variation d'une campagne à l'autre, robusta et arabica séparés ; détail et graphiques dans brazil_enso_client.xlsx)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74"/>
          </w:tcPr>
          <w:p>
            <w:r/>
            <w:r>
              <w:rPr>
                <w:b/>
                <w:sz w:val="15"/>
              </w:rPr>
              <w:t>ENSO class</w:t>
            </w:r>
          </w:p>
        </w:tc>
        <w:tc>
          <w:tcPr>
            <w:tcW w:type="dxa" w:w="1247"/>
          </w:tcPr>
          <w:p>
            <w:r/>
            <w:r>
              <w:rPr>
                <w:b/>
                <w:sz w:val="15"/>
              </w:rPr>
              <w:t>Index (RONI)</w:t>
            </w:r>
          </w:p>
        </w:tc>
        <w:tc>
          <w:tcPr>
            <w:tcW w:type="dxa" w:w="907"/>
          </w:tcPr>
          <w:p>
            <w:r/>
            <w:r>
              <w:rPr>
                <w:b/>
                <w:sz w:val="15"/>
              </w:rPr>
              <w:t>Occurrences</w:t>
            </w:r>
          </w:p>
        </w:tc>
        <w:tc>
          <w:tcPr>
            <w:tcW w:type="dxa" w:w="1247"/>
          </w:tcPr>
          <w:p>
            <w:r/>
            <w:r>
              <w:rPr>
                <w:b/>
                <w:sz w:val="15"/>
              </w:rPr>
              <w:t>Robusta avg change</w:t>
            </w:r>
          </w:p>
        </w:tc>
        <w:tc>
          <w:tcPr>
            <w:tcW w:type="dxa" w:w="1247"/>
          </w:tcPr>
          <w:p>
            <w:r/>
            <w:r>
              <w:rPr>
                <w:b/>
                <w:sz w:val="15"/>
              </w:rPr>
              <w:t>Arabica avg change</w:t>
            </w:r>
          </w:p>
        </w:tc>
        <w:tc>
          <w:tcPr>
            <w:tcW w:type="dxa" w:w="1814"/>
          </w:tcPr>
          <w:p>
            <w:r/>
            <w:r>
              <w:rPr>
                <w:b/>
                <w:sz w:val="15"/>
              </w:rPr>
              <w:t>Espírito Santo rain / temp dev.</w:t>
            </w:r>
          </w:p>
        </w:tc>
        <w:tc>
          <w:tcPr>
            <w:tcW w:type="dxa" w:w="2835"/>
          </w:tcPr>
          <w:p>
            <w:r/>
            <w:r>
              <w:rPr>
                <w:b/>
                <w:sz w:val="15"/>
              </w:rPr>
              <w:t>Crop years</w:t>
            </w:r>
          </w:p>
        </w:tc>
      </w:tr>
      <w:tr>
        <w:tc>
          <w:tcPr>
            <w:tcW w:type="dxa" w:w="1474"/>
          </w:tcPr>
          <w:p>
            <w:r/>
            <w:r>
              <w:rPr>
                <w:sz w:val="15"/>
              </w:rPr>
              <w:t>El Nino strong</w:t>
            </w:r>
          </w:p>
        </w:tc>
        <w:tc>
          <w:tcPr>
            <w:tcW w:type="dxa" w:w="1247"/>
          </w:tcPr>
          <w:p>
            <w:r/>
            <w:r>
              <w:rPr>
                <w:sz w:val="15"/>
              </w:rPr>
              <w:t>&gt;= 1.6</w:t>
            </w:r>
          </w:p>
        </w:tc>
        <w:tc>
          <w:tcPr>
            <w:tcW w:type="dxa" w:w="907"/>
          </w:tcPr>
          <w:p>
            <w:r/>
            <w:r>
              <w:rPr>
                <w:sz w:val="15"/>
              </w:rPr>
              <w:t>1</w:t>
            </w:r>
          </w:p>
        </w:tc>
        <w:tc>
          <w:tcPr>
            <w:tcW w:type="dxa" w:w="1247"/>
          </w:tcPr>
          <w:p>
            <w:r/>
            <w:r>
              <w:rPr>
                <w:sz w:val="15"/>
              </w:rPr>
              <w:t>-21.1 %</w:t>
            </w:r>
          </w:p>
        </w:tc>
        <w:tc>
          <w:tcPr>
            <w:tcW w:type="dxa" w:w="1247"/>
          </w:tcPr>
          <w:p>
            <w:r/>
            <w:r>
              <w:rPr>
                <w:sz w:val="15"/>
              </w:rPr>
              <w:t>+26.3 %</w:t>
            </w:r>
          </w:p>
        </w:tc>
        <w:tc>
          <w:tcPr>
            <w:tcW w:type="dxa" w:w="1814"/>
          </w:tcPr>
          <w:p>
            <w:r/>
            <w:r>
              <w:rPr>
                <w:sz w:val="15"/>
              </w:rPr>
              <w:t>-472 mm / +1.3 °C</w:t>
            </w:r>
          </w:p>
        </w:tc>
        <w:tc>
          <w:tcPr>
            <w:tcW w:type="dxa" w:w="2835"/>
          </w:tcPr>
          <w:p>
            <w:r/>
            <w:r>
              <w:rPr>
                <w:sz w:val="15"/>
              </w:rPr>
              <w:t>2016/17</w:t>
            </w:r>
          </w:p>
        </w:tc>
      </w:tr>
      <w:tr>
        <w:tc>
          <w:tcPr>
            <w:tcW w:type="dxa" w:w="1474"/>
          </w:tcPr>
          <w:p>
            <w:r/>
            <w:r>
              <w:rPr>
                <w:sz w:val="15"/>
              </w:rPr>
              <w:t>El Nino normal</w:t>
            </w:r>
          </w:p>
        </w:tc>
        <w:tc>
          <w:tcPr>
            <w:tcW w:type="dxa" w:w="1247"/>
          </w:tcPr>
          <w:p>
            <w:r/>
            <w:r>
              <w:rPr>
                <w:sz w:val="15"/>
              </w:rPr>
              <w:t>0.5 to 1.5</w:t>
            </w:r>
          </w:p>
        </w:tc>
        <w:tc>
          <w:tcPr>
            <w:tcW w:type="dxa" w:w="907"/>
          </w:tcPr>
          <w:p>
            <w:r/>
            <w:r>
              <w:rPr>
                <w:sz w:val="15"/>
              </w:rPr>
              <w:t>4</w:t>
            </w:r>
          </w:p>
        </w:tc>
        <w:tc>
          <w:tcPr>
            <w:tcW w:type="dxa" w:w="1247"/>
          </w:tcPr>
          <w:p>
            <w:r/>
            <w:r>
              <w:rPr>
                <w:sz w:val="15"/>
              </w:rPr>
              <w:t>-1.5 %</w:t>
            </w:r>
          </w:p>
        </w:tc>
        <w:tc>
          <w:tcPr>
            <w:tcW w:type="dxa" w:w="1247"/>
          </w:tcPr>
          <w:p>
            <w:r/>
            <w:r>
              <w:rPr>
                <w:sz w:val="15"/>
              </w:rPr>
              <w:t>+1.8 %</w:t>
            </w:r>
          </w:p>
        </w:tc>
        <w:tc>
          <w:tcPr>
            <w:tcW w:type="dxa" w:w="1814"/>
          </w:tcPr>
          <w:p>
            <w:r/>
            <w:r>
              <w:rPr>
                <w:sz w:val="15"/>
              </w:rPr>
              <w:t>-180 mm / +0.8 °C</w:t>
            </w:r>
          </w:p>
        </w:tc>
        <w:tc>
          <w:tcPr>
            <w:tcW w:type="dxa" w:w="2835"/>
          </w:tcPr>
          <w:p>
            <w:r/>
            <w:r>
              <w:rPr>
                <w:sz w:val="15"/>
              </w:rPr>
              <w:t>2010/11, 2015/16, 2019/20, 2024/25</w:t>
            </w:r>
          </w:p>
        </w:tc>
      </w:tr>
      <w:tr>
        <w:tc>
          <w:tcPr>
            <w:tcW w:type="dxa" w:w="1474"/>
          </w:tcPr>
          <w:p>
            <w:r/>
            <w:r>
              <w:rPr>
                <w:sz w:val="15"/>
              </w:rPr>
              <w:t>Neutral</w:t>
            </w:r>
          </w:p>
        </w:tc>
        <w:tc>
          <w:tcPr>
            <w:tcW w:type="dxa" w:w="1247"/>
          </w:tcPr>
          <w:p>
            <w:r/>
            <w:r>
              <w:rPr>
                <w:sz w:val="15"/>
              </w:rPr>
              <w:t>-0.5 to 0.5</w:t>
            </w:r>
          </w:p>
        </w:tc>
        <w:tc>
          <w:tcPr>
            <w:tcW w:type="dxa" w:w="907"/>
          </w:tcPr>
          <w:p>
            <w:r/>
            <w:r>
              <w:rPr>
                <w:sz w:val="15"/>
              </w:rPr>
              <w:t>2</w:t>
            </w:r>
          </w:p>
        </w:tc>
        <w:tc>
          <w:tcPr>
            <w:tcW w:type="dxa" w:w="1247"/>
          </w:tcPr>
          <w:p>
            <w:r/>
            <w:r>
              <w:rPr>
                <w:sz w:val="15"/>
              </w:rPr>
              <w:t>+9.8 %</w:t>
            </w:r>
          </w:p>
        </w:tc>
        <w:tc>
          <w:tcPr>
            <w:tcW w:type="dxa" w:w="1247"/>
          </w:tcPr>
          <w:p>
            <w:r/>
            <w:r>
              <w:rPr>
                <w:sz w:val="15"/>
              </w:rPr>
              <w:t>+3.8 %</w:t>
            </w:r>
          </w:p>
        </w:tc>
        <w:tc>
          <w:tcPr>
            <w:tcW w:type="dxa" w:w="1814"/>
          </w:tcPr>
          <w:p>
            <w:r/>
            <w:r>
              <w:rPr>
                <w:sz w:val="15"/>
              </w:rPr>
              <w:t>+103 mm / -0.1 °C</w:t>
            </w:r>
          </w:p>
        </w:tc>
        <w:tc>
          <w:tcPr>
            <w:tcW w:type="dxa" w:w="2835"/>
          </w:tcPr>
          <w:p>
            <w:r/>
            <w:r>
              <w:rPr>
                <w:sz w:val="15"/>
              </w:rPr>
              <w:t>2014/15, 2020/21</w:t>
            </w:r>
          </w:p>
        </w:tc>
      </w:tr>
      <w:tr>
        <w:tc>
          <w:tcPr>
            <w:tcW w:type="dxa" w:w="1474"/>
          </w:tcPr>
          <w:p>
            <w:r/>
            <w:r>
              <w:rPr>
                <w:sz w:val="15"/>
              </w:rPr>
              <w:t>La Nina</w:t>
            </w:r>
          </w:p>
        </w:tc>
        <w:tc>
          <w:tcPr>
            <w:tcW w:type="dxa" w:w="1247"/>
          </w:tcPr>
          <w:p>
            <w:r/>
            <w:r>
              <w:rPr>
                <w:sz w:val="15"/>
              </w:rPr>
              <w:t>&lt;= -0.5</w:t>
            </w:r>
          </w:p>
        </w:tc>
        <w:tc>
          <w:tcPr>
            <w:tcW w:type="dxa" w:w="907"/>
          </w:tcPr>
          <w:p>
            <w:r/>
            <w:r>
              <w:rPr>
                <w:sz w:val="15"/>
              </w:rPr>
              <w:t>11</w:t>
            </w:r>
          </w:p>
        </w:tc>
        <w:tc>
          <w:tcPr>
            <w:tcW w:type="dxa" w:w="1247"/>
          </w:tcPr>
          <w:p>
            <w:r/>
            <w:r>
              <w:rPr>
                <w:sz w:val="15"/>
              </w:rPr>
              <w:t>+9.4 %</w:t>
            </w:r>
          </w:p>
        </w:tc>
        <w:tc>
          <w:tcPr>
            <w:tcW w:type="dxa" w:w="1247"/>
          </w:tcPr>
          <w:p>
            <w:r/>
            <w:r>
              <w:rPr>
                <w:sz w:val="15"/>
              </w:rPr>
              <w:t>+2.3 %</w:t>
            </w:r>
          </w:p>
        </w:tc>
        <w:tc>
          <w:tcPr>
            <w:tcW w:type="dxa" w:w="1814"/>
          </w:tcPr>
          <w:p>
            <w:r/>
            <w:r>
              <w:rPr>
                <w:sz w:val="15"/>
              </w:rPr>
              <w:t>+3 mm / -0.1 °C</w:t>
            </w:r>
          </w:p>
        </w:tc>
        <w:tc>
          <w:tcPr>
            <w:tcW w:type="dxa" w:w="2835"/>
          </w:tcPr>
          <w:p>
            <w:r/>
            <w:r>
              <w:rPr>
                <w:sz w:val="15"/>
              </w:rPr>
              <w:t>2008/09, 2009/10, 2011/12, 2012/13, 2013/14, 2017/18, 2018/19, 2021/22, 2022/23, 2023/24, 2025/26</w:t>
            </w:r>
          </w:p>
        </w:tc>
      </w:tr>
    </w:tbl>
    <w:p/>
    <w:p>
      <w:r>
        <w:rPr>
          <w:b w:val="0"/>
          <w:i/>
          <w:color w:val="52514E"/>
          <w:sz w:val="16"/>
        </w:rPr>
        <w:t>Index de la campagne Y/Y+1 = valeur extrême du RONI entre SON de Y−1 et FMA de Y (floraison → fin du remplissage). Seuils : El Niño fort ≥ 1,6, El Niño normal 0,5 à 1,5, neutre entre −0,5 et 0,5, La Niña ≤ −0,5. Espírito Santo = moyenne de l'État, en attendant São Mateus et Linhares (NASA POWER).</w:t>
      </w:r>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2</w:t>
            </w:r>
          </w:p>
        </w:tc>
        <w:tc>
          <w:tcPr>
            <w:tcW w:type="dxa" w:w="850"/>
          </w:tcPr>
          <w:p>
            <w:r/>
            <w:r>
              <w:rPr>
                <w:sz w:val="14"/>
              </w:rPr>
              <w:t>+2.2 %</w:t>
            </w:r>
          </w:p>
        </w:tc>
        <w:tc>
          <w:tcPr>
            <w:tcW w:type="dxa" w:w="850"/>
          </w:tcPr>
          <w:p>
            <w:r/>
            <w:r>
              <w:rPr>
                <w:sz w:val="14"/>
              </w:rPr>
              <w:t>-18.4 %</w:t>
            </w:r>
          </w:p>
        </w:tc>
        <w:tc>
          <w:tcPr>
            <w:tcW w:type="dxa" w:w="850"/>
          </w:tcPr>
          <w:p>
            <w:r/>
            <w:r>
              <w:rPr>
                <w:sz w:val="14"/>
              </w:rPr>
              <w:t>-3.4 %</w:t>
            </w:r>
          </w:p>
        </w:tc>
        <w:tc>
          <w:tcPr>
            <w:tcW w:type="dxa" w:w="907"/>
          </w:tcPr>
          <w:p>
            <w:r/>
            <w:r>
              <w:rPr>
                <w:sz w:val="14"/>
              </w:rPr>
              <w:t>-4.0 %</w:t>
            </w:r>
          </w:p>
        </w:tc>
        <w:tc>
          <w:tcPr>
            <w:tcW w:type="dxa" w:w="1304"/>
          </w:tcPr>
          <w:p>
            <w:r/>
            <w:r>
              <w:rPr>
                <w:sz w:val="14"/>
              </w:rPr>
              <w:t>-116 mm / +0.4 °C</w:t>
            </w:r>
          </w:p>
        </w:tc>
        <w:tc>
          <w:tcPr>
            <w:tcW w:type="dxa" w:w="1304"/>
          </w:tcPr>
          <w:p>
            <w:r/>
            <w:r>
              <w:rPr>
                <w:sz w:val="14"/>
              </w:rPr>
              <w:t>-277 mm / +0.8 °C</w:t>
            </w:r>
          </w:p>
        </w:tc>
        <w:tc>
          <w:tcPr>
            <w:tcW w:type="dxa" w:w="1984"/>
          </w:tcPr>
          <w:p>
            <w:r/>
            <w:r>
              <w:rPr>
                <w:sz w:val="14"/>
              </w:rPr>
              <w:t>2010/11 2016/17</w:t>
            </w:r>
          </w:p>
        </w:tc>
      </w:tr>
      <w:tr>
        <w:tc>
          <w:tcPr>
            <w:tcW w:type="dxa" w:w="1587"/>
          </w:tcPr>
          <w:p>
            <w:r/>
            <w:r>
              <w:rPr>
                <w:sz w:val="14"/>
              </w:rPr>
              <w:t>El Niño ordinaire</w:t>
            </w:r>
          </w:p>
        </w:tc>
        <w:tc>
          <w:tcPr>
            <w:tcW w:type="dxa" w:w="454"/>
          </w:tcPr>
          <w:p>
            <w:r/>
            <w:r>
              <w:rPr>
                <w:sz w:val="14"/>
              </w:rPr>
              <w:t>5</w:t>
            </w:r>
          </w:p>
        </w:tc>
        <w:tc>
          <w:tcPr>
            <w:tcW w:type="dxa" w:w="850"/>
          </w:tcPr>
          <w:p>
            <w:r/>
            <w:r>
              <w:rPr>
                <w:sz w:val="14"/>
              </w:rPr>
              <w:t>-4.4 %</w:t>
            </w:r>
          </w:p>
        </w:tc>
        <w:tc>
          <w:tcPr>
            <w:tcW w:type="dxa" w:w="850"/>
          </w:tcPr>
          <w:p>
            <w:r/>
            <w:r>
              <w:rPr>
                <w:sz w:val="14"/>
              </w:rPr>
              <w:t>-2.9 %</w:t>
            </w:r>
          </w:p>
        </w:tc>
        <w:tc>
          <w:tcPr>
            <w:tcW w:type="dxa" w:w="850"/>
          </w:tcPr>
          <w:p>
            <w:r/>
            <w:r>
              <w:rPr>
                <w:sz w:val="14"/>
              </w:rPr>
              <w:t>-4.1 %</w:t>
            </w:r>
          </w:p>
        </w:tc>
        <w:tc>
          <w:tcPr>
            <w:tcW w:type="dxa" w:w="907"/>
          </w:tcPr>
          <w:p>
            <w:r/>
            <w:r>
              <w:rPr>
                <w:sz w:val="14"/>
              </w:rPr>
              <w:t>-4.8 %</w:t>
            </w:r>
          </w:p>
        </w:tc>
        <w:tc>
          <w:tcPr>
            <w:tcW w:type="dxa" w:w="1304"/>
          </w:tcPr>
          <w:p>
            <w:r/>
            <w:r>
              <w:rPr>
                <w:sz w:val="14"/>
              </w:rPr>
              <w:t>-6 mm / +0.4 °C</w:t>
            </w:r>
          </w:p>
        </w:tc>
        <w:tc>
          <w:tcPr>
            <w:tcW w:type="dxa" w:w="1304"/>
          </w:tcPr>
          <w:p>
            <w:r/>
            <w:r>
              <w:rPr>
                <w:sz w:val="14"/>
              </w:rPr>
              <w:t>-0 mm / +0.3 °C</w:t>
            </w:r>
          </w:p>
        </w:tc>
        <w:tc>
          <w:tcPr>
            <w:tcW w:type="dxa" w:w="1984"/>
          </w:tcPr>
          <w:p>
            <w:r/>
            <w:r>
              <w:rPr>
                <w:sz w:val="14"/>
              </w:rPr>
              <w:t>2003/04 2005/06 2007/08 2019/20 2024/25</w:t>
            </w:r>
          </w:p>
        </w:tc>
      </w:tr>
      <w:tr>
        <w:tc>
          <w:tcPr>
            <w:tcW w:type="dxa" w:w="1587"/>
          </w:tcPr>
          <w:p>
            <w:r/>
            <w:r>
              <w:rPr>
                <w:sz w:val="14"/>
              </w:rPr>
              <w:t>La Niña ordinaire</w:t>
            </w:r>
          </w:p>
        </w:tc>
        <w:tc>
          <w:tcPr>
            <w:tcW w:type="dxa" w:w="454"/>
          </w:tcPr>
          <w:p>
            <w:r/>
            <w:r>
              <w:rPr>
                <w:sz w:val="14"/>
              </w:rPr>
              <w:t>8</w:t>
            </w:r>
          </w:p>
        </w:tc>
        <w:tc>
          <w:tcPr>
            <w:tcW w:type="dxa" w:w="850"/>
          </w:tcPr>
          <w:p>
            <w:r/>
            <w:r>
              <w:rPr>
                <w:sz w:val="14"/>
              </w:rPr>
              <w:t>+0.0 %</w:t>
            </w:r>
          </w:p>
        </w:tc>
        <w:tc>
          <w:tcPr>
            <w:tcW w:type="dxa" w:w="850"/>
          </w:tcPr>
          <w:p>
            <w:r/>
            <w:r>
              <w:rPr>
                <w:sz w:val="14"/>
              </w:rPr>
              <w:t>-0.6 %</w:t>
            </w:r>
          </w:p>
        </w:tc>
        <w:tc>
          <w:tcPr>
            <w:tcW w:type="dxa" w:w="850"/>
          </w:tcPr>
          <w:p>
            <w:r/>
            <w:r>
              <w:rPr>
                <w:sz w:val="14"/>
              </w:rPr>
              <w:t>-0.1 %</w:t>
            </w:r>
          </w:p>
        </w:tc>
        <w:tc>
          <w:tcPr>
            <w:tcW w:type="dxa" w:w="907"/>
          </w:tcPr>
          <w:p>
            <w:r/>
            <w:r>
              <w:rPr>
                <w:sz w:val="14"/>
              </w:rPr>
              <w:t>-0.5 %</w:t>
            </w:r>
          </w:p>
        </w:tc>
        <w:tc>
          <w:tcPr>
            <w:tcW w:type="dxa" w:w="1304"/>
          </w:tcPr>
          <w:p>
            <w:r/>
            <w:r>
              <w:rPr>
                <w:sz w:val="14"/>
              </w:rPr>
              <w:t>-29 mm / -0.1 °C</w:t>
            </w:r>
          </w:p>
        </w:tc>
        <w:tc>
          <w:tcPr>
            <w:tcW w:type="dxa" w:w="1304"/>
          </w:tcPr>
          <w:p>
            <w:r/>
            <w:r>
              <w:rPr>
                <w:sz w:val="14"/>
              </w:rPr>
              <w:t>+21 mm / -0.2 °C</w:t>
            </w:r>
          </w:p>
        </w:tc>
        <w:tc>
          <w:tcPr>
            <w:tcW w:type="dxa" w:w="1984"/>
          </w:tcPr>
          <w:p>
            <w:r/>
            <w:r>
              <w:rPr>
                <w:sz w:val="14"/>
              </w:rPr>
              <w:t>2006/07 2009/10 2012/13 2017/18 2018/19 2021/22 2022/23 2023/24</w:t>
            </w:r>
          </w:p>
        </w:tc>
      </w:tr>
      <w:tr>
        <w:tc>
          <w:tcPr>
            <w:tcW w:type="dxa" w:w="1587"/>
          </w:tcPr>
          <w:p>
            <w:r/>
            <w:r>
              <w:rPr>
                <w:sz w:val="14"/>
              </w:rPr>
              <w:t>La Niña forte</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+106 mm / -0.5 °C</w:t>
            </w:r>
          </w:p>
        </w:tc>
        <w:tc>
          <w:tcPr>
            <w:tcW w:type="dxa" w:w="1304"/>
          </w:tcPr>
          <w:p>
            <w:r/>
            <w:r>
              <w:rPr>
                <w:sz w:val="14"/>
              </w:rPr>
              <w:t>-19 mm / -0.3 °C</w:t>
            </w:r>
          </w:p>
        </w:tc>
        <w:tc>
          <w:tcPr>
            <w:tcW w:type="dxa" w:w="1984"/>
          </w:tcPr>
          <w:p>
            <w:r/>
            <w:r>
              <w:rPr>
                <w:sz w:val="14"/>
              </w:rPr>
              <w:t>2008/09 2011/12</w:t>
            </w:r>
          </w:p>
        </w:tc>
      </w:tr>
    </w:tbl>
    <w:p/>
    <w:p>
      <w:r>
        <w:rPr>
          <w:b w:val="0"/>
          <w:i w:val="0"/>
          <w:sz w:val="20"/>
        </w:rPr>
        <w:t>Lecture : les El Niño forts de la période (2009/10, 2015/16) ont donné des campagnes N+1 avec -277 mm et +0.8 °C en Espírito Santo et -116 mm, +0.4 °C à Minas Gerais. Le conilon, non irrigué dans une bonne partie de São Mateus, a perdu -18.4 % par rapport à l'attendu (−30 % en 2016/17) ; l'arabica, en année ON, est resté à +2.2 %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-21 mm de pluie à Minas Gerais et -104 mm en Espírito Santo, avec +0.35 °C et +0.46 °C, mais +145 mm au Paraná ; les campagnes La Niña +4 mm à Minas et -78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-4.5 %</w:t>
            </w:r>
          </w:p>
        </w:tc>
        <w:tc>
          <w:tcPr>
            <w:tcW w:type="dxa" w:w="1134"/>
          </w:tcPr>
          <w:p>
            <w:r/>
            <w:r>
              <w:rPr>
                <w:sz w:val="15"/>
              </w:rPr>
              <w:t>86 %</w:t>
            </w:r>
          </w:p>
        </w:tc>
        <w:tc>
          <w:tcPr>
            <w:tcW w:type="dxa" w:w="1361"/>
          </w:tcPr>
          <w:p>
            <w:r/>
            <w:r>
              <w:rPr>
                <w:sz w:val="15"/>
              </w:rPr>
              <w:t>-3.9 %</w:t>
            </w:r>
          </w:p>
        </w:tc>
        <w:tc>
          <w:tcPr>
            <w:tcW w:type="dxa" w:w="3402"/>
          </w:tcPr>
          <w:p>
            <w:r/>
            <w:r>
              <w:rPr>
                <w:sz w:val="15"/>
              </w:rPr>
              <w:t>2003/04 2005/06 2007/08 2010/11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(-3.9 %) : 63 449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-4.4 % → 41 218, robusta -2.9 % → 22 533 ; si fort, arabica +2.2 % → 44 063, robusta -18.4 % → 18 928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34.19</w:t>
            </w:r>
          </w:p>
        </w:tc>
        <w:tc>
          <w:tcPr>
            <w:tcW w:type="dxa" w:w="850"/>
          </w:tcPr>
          <w:p>
            <w:r/>
            <w:r>
              <w:rPr>
                <w:sz w:val="14"/>
              </w:rPr>
              <w:t>7 007</w:t>
            </w:r>
          </w:p>
        </w:tc>
        <w:tc>
          <w:tcPr>
            <w:tcW w:type="dxa" w:w="907"/>
          </w:tcPr>
          <w:p>
            <w:r/>
            <w:r>
              <w:rPr>
                <w:sz w:val="14"/>
              </w:rPr>
              <w:t>1 461</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32.87</w:t>
            </w:r>
          </w:p>
        </w:tc>
        <w:tc>
          <w:tcPr>
            <w:tcW w:type="dxa" w:w="850"/>
          </w:tcPr>
          <w:p>
            <w:r/>
            <w:r>
              <w:rPr>
                <w:sz w:val="14"/>
              </w:rPr>
              <w:t>7 007</w:t>
            </w:r>
          </w:p>
        </w:tc>
        <w:tc>
          <w:tcPr>
            <w:tcW w:type="dxa" w:w="907"/>
          </w:tcPr>
          <w:p>
            <w:r/>
            <w:r>
              <w:rPr>
                <w:sz w:val="14"/>
              </w:rPr>
              <w:t>1 461</w:t>
            </w:r>
          </w:p>
        </w:tc>
        <w:tc>
          <w:tcPr>
            <w:tcW w:type="dxa" w:w="964"/>
          </w:tcPr>
          <w:p>
            <w:r/>
            <w:r>
              <w:rPr>
                <w:sz w:val="14"/>
              </w:rPr>
              <w:t>41 218</w:t>
            </w:r>
          </w:p>
        </w:tc>
        <w:tc>
          <w:tcPr>
            <w:tcW w:type="dxa" w:w="964"/>
          </w:tcPr>
          <w:p>
            <w:r/>
            <w:r>
              <w:rPr>
                <w:sz w:val="14"/>
              </w:rPr>
              <w:t>22 533</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32.48</w:t>
            </w:r>
          </w:p>
        </w:tc>
        <w:tc>
          <w:tcPr>
            <w:tcW w:type="dxa" w:w="850"/>
          </w:tcPr>
          <w:p>
            <w:r/>
            <w:r>
              <w:rPr>
                <w:sz w:val="14"/>
              </w:rPr>
              <w:t>7 007</w:t>
            </w:r>
          </w:p>
        </w:tc>
        <w:tc>
          <w:tcPr>
            <w:tcW w:type="dxa" w:w="907"/>
          </w:tcPr>
          <w:p>
            <w:r/>
            <w:r>
              <w:rPr>
                <w:sz w:val="14"/>
              </w:rPr>
              <w:t>1 461</w:t>
            </w:r>
          </w:p>
        </w:tc>
        <w:tc>
          <w:tcPr>
            <w:tcW w:type="dxa" w:w="964"/>
          </w:tcPr>
          <w:p>
            <w:r/>
            <w:r>
              <w:rPr>
                <w:sz w:val="14"/>
              </w:rPr>
              <w:t>44 063</w:t>
            </w:r>
          </w:p>
        </w:tc>
        <w:tc>
          <w:tcPr>
            <w:tcW w:type="dxa" w:w="964"/>
          </w:tcPr>
          <w:p>
            <w:r/>
            <w:r>
              <w:rPr>
                <w:sz w:val="14"/>
              </w:rPr>
              <w:t>18 928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 plantée 2 350 = 2 503 (droite en 2000/01) − 5.67 × 27 campagnes : la surface plantée baisse en moyenne de 5.7 milliers d'ha par an depuis 2001/02 (2 488 → 2 342). Dernière valeur USDA : 2 342.</w:t>
      </w:r>
    </w:p>
    <w:p>
      <w:pPr>
        <w:pStyle w:val="ListBullet"/>
      </w:pPr>
      <w:r>
        <w:rPr>
          <w:sz w:val="17"/>
        </w:rPr>
        <w:t>Surface récoltée 1 940 = 2 258 − 11.79 × 27 : la surface en production recule de 11.8 milliers d'ha par an depuis 2001/02 (2 175 → 1 941), le rendement compense. Dernière valeur USDA : 1 941.</w:t>
      </w:r>
    </w:p>
    <w:p>
      <w:pPr>
        <w:pStyle w:val="ListBullet"/>
      </w:pPr>
      <w:r>
        <w:rPr>
          <w:sz w:val="17"/>
        </w:rPr>
        <w:t>Arbres bearing 7 007 = 6 876 (2026/27) + 131 : le stock d'arbres en production gagne en moyenne 131 millions par an depuis 1998/99.</w:t>
      </w:r>
    </w:p>
    <w:p>
      <w:pPr>
        <w:pStyle w:val="ListBullet"/>
      </w:pPr>
      <w:r>
        <w:rPr>
          <w:sz w:val="17"/>
        </w:rPr>
        <w:t>Arbres non-bearing 1 461 = 1 461, dernière valeur reconduite : aucune tendance stable sur cette série (marche aléatoire), l'intervalle 80 % va de 1 191 à 1 731.</w:t>
      </w:r>
    </w:p>
    <w:p>
      <w:pPr>
        <w:pStyle w:val="ListBullet"/>
      </w:pPr>
      <w:r>
        <w:rPr>
          <w:sz w:val="17"/>
        </w:rPr>
        <w:t>Arabica 43 119 = 26 423 (point de départ 2001/02, année OFF) + 618 × 27 campagnes + 0 (année OFF, pas de bonus). Avec El Niño ordinaire (-4.4 % historique) : 41 218 ; avec El Niño fort (+2.2 %) : 44 063.</w:t>
      </w:r>
    </w:p>
    <w:p>
      <w:pPr>
        <w:pStyle w:val="ListBullet"/>
      </w:pPr>
      <w:r>
        <w:rPr>
          <w:sz w:val="17"/>
        </w:rPr>
        <w:t>Robusta 23 196 = 7 813 + 570 × 27 campagnes (le report de surprise de 2025/26 ne joue plus). Avec El Niño ordinaire (-2.9 %) : 22 533 ; avec El Niño fort (-18.4 %) : 18 928.</w:t>
      </w:r>
    </w:p>
    <w:p>
      <w:pPr>
        <w:pStyle w:val="ListBullet"/>
      </w:pPr>
      <w:r>
        <w:rPr>
          <w:sz w:val="17"/>
        </w:rPr>
        <w:t>Rendement 34.19 = (43 119 + 23 196) / 1 940 ; El Niño ordinaire 32.87 ; El Niño fort 32.48. Contrôle : le modèle de rendement direct (ON/OFF + tendance) donne 33.65 sacs/ha, soit 65 262 milliers de sacs par la surface récoltée : cohérent à 2 % près avec la production prévue.</w:t>
      </w:r>
    </w:p>
    <w:p>
      <w:pPr>
        <w:pStyle w:val="ListBullet"/>
      </w:pPr>
      <w:r>
        <w:rPr>
          <w:sz w:val="17"/>
        </w:rPr>
        <w:t>Comparaison avec ta ligne : arabica 41 325 est entre mon scénario El Niño ordinaire (41 218) et la météo normale (43 119) ; robusta 22 226 est proche de mon El Niño ordinaire (22 533) ; ta surface récoltée 1 906 suppose un recul de 35 kha en un an, plus fort que la tendance (1 940) ; tes arbres bearing 6 807 supposent une baisse alors que la dérive historique est de +131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