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Vietnam : balance sheet café, de la météo au rendement et à la production</w:t>
      </w:r>
    </w:p>
    <w:p>
      <w:r>
        <w:rPr>
          <w:b w:val="0"/>
          <w:i/>
          <w:color w:val="52514E"/>
          <w:sz w:val="18"/>
        </w:rPr>
        <w:t>Au 16 septembre 2026. Source des chiffres : balance sheet (onglet Vietnam), USDA. Classification ENSO : official ONI/RONI table /home/user/procafe/timeseries/data/oni.csv.</w:t>
      </w:r>
    </w:p>
    <w:p>
      <w:r>
        <w:rPr>
          <w:b w:val="0"/>
          <w:i w:val="0"/>
          <w:sz w:val="18"/>
        </w:rPr>
        <w:t>Le rendement de la balance sheet est en t/ha (USDA). Aucun stock d'arbres n'est renseigné.</w:t>
      </w:r>
    </w:p>
    <w:p>
      <w:pPr>
        <w:pStyle w:val="Heading1"/>
      </w:pPr>
      <w:r>
        <w:t>1. Les messages clés</w:t>
      </w:r>
    </w:p>
    <w:p>
      <w:pPr>
        <w:pStyle w:val="ListBullet"/>
      </w:pPr>
      <w:r>
        <w:rPr>
          <w:sz w:val="20"/>
        </w:rPr>
        <w:t>La production est le produit de deux choses seulement : la surface en production (bearing area) et le rendement. La surface bouge lentement (arbres plantés il y a 3 à 4 ans) ; le rendement bouge vite (météo, cycle, maladies). Une prévision doit donc expliquer le rendement.</w:t>
      </w:r>
    </w:p>
    <w:p>
      <w:pPr>
        <w:pStyle w:val="ListBullet"/>
      </w:pPr>
      <w:r>
        <w:rPr>
          <w:sz w:val="20"/>
        </w:rPr>
        <w:t>Entre 1995/96 et 2025/26, la production est passée de 3 917 à 31 700 (+7.2 % par an) : surface bearing +6.3 % par an, rendement +0.8 % par an. La surface fait la croissance.</w:t>
      </w:r>
    </w:p>
    <w:p>
      <w:pPr>
        <w:pStyle w:val="ListBullet"/>
      </w:pPr>
      <w:r>
        <w:rPr>
          <w:sz w:val="20"/>
        </w:rPr>
        <w:t>El Niño : rendement en moyenne -3.2 % par rapport aux campagnes voisines sur 7 campagnes (71 % d'entre elles sous la moyenne) ; El Niño fort : -2.9 % (4 campagnes, 100 % sous la moyenne). La Niña : +2.3 % (11 campagnes).</w:t>
      </w:r>
    </w:p>
    <w:p>
      <w:pPr>
        <w:pStyle w:val="ListBullet"/>
      </w:pPr>
      <w:r>
        <w:rPr>
          <w:sz w:val="20"/>
        </w:rPr>
        <w:t>L'El Niño en cours pèse donc sur la saison sèche 2027 et la campagne 2027/28.</w:t>
      </w:r>
    </w:p>
    <w:p>
      <w:pPr>
        <w:pStyle w:val="ListBullet"/>
      </w:pPr>
      <w:r>
        <w:rPr>
          <w:sz w:val="20"/>
        </w:rPr>
        <w:t>Prévision Production Total 2027/28 : 33 262 (intervalle 80 % 29 848 – 36 675) par le modèle ARMA ; avec l'effet El Niño historique moyen (-4.5 %) : 31 778.</w:t>
      </w:r>
    </w:p>
    <w:p>
      <w:pPr>
        <w:pStyle w:val="Heading1"/>
      </w:pPr>
      <w:r>
        <w:t>2. La structure du raisonnement</w:t>
      </w:r>
    </w:p>
    <w:p>
      <w:r>
        <w:rPr>
          <w:b w:val="0"/>
          <w:i w:val="0"/>
          <w:sz w:val="20"/>
        </w:rPr>
        <w:t>Production (sacs) = surface en production (ha) × rendement (sacs/ha). Chaque terme a ses propres déterminants, avec des horizons différents : le stock d'arbres se décide 3 à 4 ans avant (plantations, arrachages, rénovation), le rendement se décide dans l'année (âge et état des arbres, cycle biennal, météo de chaque phase du calendrier cultural, maladies) et c'est lui qui porte l'incertitude de court terme. ENSO n'agit pas directement : il déplace la pluie et la température des mois qui comptent, et c'est ce déplacement qu'il faut quantifier pour l'origine considérée.</w:t>
      </w:r>
    </w:p>
    <w:p>
      <w:pPr>
        <w:jc w:val="center"/>
      </w:pPr>
      <w:r>
        <w:drawing>
          <wp:inline xmlns:a="http://schemas.openxmlformats.org/drawingml/2006/main" xmlns:pic="http://schemas.openxmlformats.org/drawingml/2006/picture">
            <wp:extent cx="5760000" cy="2778716"/>
            <wp:docPr id="1" name="Picture 1"/>
            <wp:cNvGraphicFramePr>
              <a:graphicFrameLocks noChangeAspect="1"/>
            </wp:cNvGraphicFramePr>
            <a:graphic>
              <a:graphicData uri="http://schemas.openxmlformats.org/drawingml/2006/picture">
                <pic:pic>
                  <pic:nvPicPr>
                    <pic:cNvPr id="0" name="vietnam_chain.png"/>
                    <pic:cNvPicPr/>
                  </pic:nvPicPr>
                  <pic:blipFill>
                    <a:blip r:embed="rId9"/>
                    <a:stretch>
                      <a:fillRect/>
                    </a:stretch>
                  </pic:blipFill>
                  <pic:spPr>
                    <a:xfrm>
                      <a:off x="0" y="0"/>
                      <a:ext cx="5760000" cy="2778716"/>
                    </a:xfrm>
                    <a:prstGeom prst="rect"/>
                  </pic:spPr>
                </pic:pic>
              </a:graphicData>
            </a:graphic>
          </wp:inline>
        </w:drawing>
      </w:r>
    </w:p>
    <w:p>
      <w:r>
        <w:rPr>
          <w:b w:val="0"/>
          <w:i/>
          <w:color w:val="52514E"/>
          <w:sz w:val="16"/>
        </w:rPr>
        <w:t>Figure 1. La chaîne causale utilisée dans ce rapport.</w:t>
      </w:r>
    </w:p>
    <w:p>
      <w:pPr>
        <w:pStyle w:val="Heading1"/>
      </w:pPr>
      <w:r>
        <w:t>3. Le calendrier cultural : quels mois décident du rendement</w:t>
      </w:r>
    </w:p>
    <w:p>
      <w:r>
        <w:rPr>
          <w:b w:val="0"/>
          <w:i w:val="0"/>
          <w:sz w:val="20"/>
        </w:rPr>
        <w:t>Espèces : robusta (≈ 95 %, Hauts Plateaux du centre) et arabica (≈ 5 %, Lâm Đồng, Sơn La, Điện Biên). Campagne USDA : octobre-septembre (la balance sheet utilise novembre). Régions : Đắk Lắk, Lâm Đồng, Đắk Nông, Gia Lai, Kon Tum (Hauts Plateaux, 500-800 m) ; arabica au nord-ouest (Sơn La, Điện Biên) et à Lâm Đồng.</w:t>
      </w:r>
    </w:p>
    <w:p>
      <w:pPr>
        <w:jc w:val="center"/>
      </w:pPr>
      <w:r>
        <w:drawing>
          <wp:inline xmlns:a="http://schemas.openxmlformats.org/drawingml/2006/main" xmlns:pic="http://schemas.openxmlformats.org/drawingml/2006/picture">
            <wp:extent cx="5760000" cy="1933888"/>
            <wp:docPr id="2" name="Picture 2"/>
            <wp:cNvGraphicFramePr>
              <a:graphicFrameLocks noChangeAspect="1"/>
            </wp:cNvGraphicFramePr>
            <a:graphic>
              <a:graphicData uri="http://schemas.openxmlformats.org/drawingml/2006/picture">
                <pic:pic>
                  <pic:nvPicPr>
                    <pic:cNvPr id="0" name="vietnam_calendar.png"/>
                    <pic:cNvPicPr/>
                  </pic:nvPicPr>
                  <pic:blipFill>
                    <a:blip r:embed="rId10"/>
                    <a:stretch>
                      <a:fillRect/>
                    </a:stretch>
                  </pic:blipFill>
                  <pic:spPr>
                    <a:xfrm>
                      <a:off x="0" y="0"/>
                      <a:ext cx="5760000" cy="1933888"/>
                    </a:xfrm>
                    <a:prstGeom prst="rect"/>
                  </pic:spPr>
                </pic:pic>
              </a:graphicData>
            </a:graphic>
          </wp:inline>
        </w:drawing>
      </w:r>
    </w:p>
    <w:p>
      <w:r>
        <w:rPr>
          <w:b w:val="0"/>
          <w:i/>
          <w:color w:val="52514E"/>
          <w:sz w:val="16"/>
        </w:rPr>
        <w:t>Figure 2. Phases de la culture par mois (année civile).</w:t>
      </w:r>
    </w:p>
    <w:p>
      <w:r>
        <w:rPr>
          <w:b w:val="0"/>
          <w:i w:val="0"/>
          <w:sz w:val="20"/>
        </w:rPr>
        <w:t>La campagne Y/Y+1 (récolte nov. Y - janv. Y+1) dépend de la saison sèche de janv.-avril Y (irrigation, floraison) puis de la mousson de Y : l'épisode qui culmine en déc.-fév. Y-1/Y la pilote. L'El Niño en cours pèse donc sur la saison sèche 2027 et la campagne 2027/28.</w:t>
      </w:r>
    </w:p>
    <w:p>
      <w:pPr>
        <w:pStyle w:val="Heading1"/>
      </w:pPr>
      <w:r>
        <w:t>4. Ce que dit la balance sheet</w:t>
      </w:r>
    </w:p>
    <w:tbl>
      <w:tblPr>
        <w:tblStyle w:val="LightGrid-Accent1"/>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997"/>
          </w:tcPr>
          <w:p>
            <w:r/>
            <w:r>
              <w:rPr>
                <w:b/>
                <w:sz w:val="15"/>
              </w:rPr>
              <w:t>Série</w:t>
            </w:r>
          </w:p>
        </w:tc>
        <w:tc>
          <w:tcPr>
            <w:tcW w:type="dxa" w:w="997"/>
          </w:tcPr>
          <w:p>
            <w:r/>
            <w:r>
              <w:rPr>
                <w:b/>
                <w:sz w:val="15"/>
              </w:rPr>
              <w:t>2018/19</w:t>
            </w:r>
          </w:p>
        </w:tc>
        <w:tc>
          <w:tcPr>
            <w:tcW w:type="dxa" w:w="997"/>
          </w:tcPr>
          <w:p>
            <w:r/>
            <w:r>
              <w:rPr>
                <w:b/>
                <w:sz w:val="15"/>
              </w:rPr>
              <w:t>2019/20</w:t>
            </w:r>
          </w:p>
        </w:tc>
        <w:tc>
          <w:tcPr>
            <w:tcW w:type="dxa" w:w="997"/>
          </w:tcPr>
          <w:p>
            <w:r/>
            <w:r>
              <w:rPr>
                <w:b/>
                <w:sz w:val="15"/>
              </w:rPr>
              <w:t>2020/21</w:t>
            </w:r>
          </w:p>
        </w:tc>
        <w:tc>
          <w:tcPr>
            <w:tcW w:type="dxa" w:w="997"/>
          </w:tcPr>
          <w:p>
            <w:r/>
            <w:r>
              <w:rPr>
                <w:b/>
                <w:sz w:val="15"/>
              </w:rPr>
              <w:t>2021/22</w:t>
            </w:r>
          </w:p>
        </w:tc>
        <w:tc>
          <w:tcPr>
            <w:tcW w:type="dxa" w:w="997"/>
          </w:tcPr>
          <w:p>
            <w:r/>
            <w:r>
              <w:rPr>
                <w:b/>
                <w:sz w:val="15"/>
              </w:rPr>
              <w:t>2022/23</w:t>
            </w:r>
          </w:p>
        </w:tc>
        <w:tc>
          <w:tcPr>
            <w:tcW w:type="dxa" w:w="997"/>
          </w:tcPr>
          <w:p>
            <w:r/>
            <w:r>
              <w:rPr>
                <w:b/>
                <w:sz w:val="15"/>
              </w:rPr>
              <w:t>2023/24</w:t>
            </w:r>
          </w:p>
        </w:tc>
        <w:tc>
          <w:tcPr>
            <w:tcW w:type="dxa" w:w="997"/>
          </w:tcPr>
          <w:p>
            <w:r/>
            <w:r>
              <w:rPr>
                <w:b/>
                <w:sz w:val="15"/>
              </w:rPr>
              <w:t>2024/25</w:t>
            </w:r>
          </w:p>
        </w:tc>
        <w:tc>
          <w:tcPr>
            <w:tcW w:type="dxa" w:w="997"/>
          </w:tcPr>
          <w:p>
            <w:r/>
            <w:r>
              <w:rPr>
                <w:b/>
                <w:sz w:val="15"/>
              </w:rPr>
              <w:t>2025/26</w:t>
            </w:r>
          </w:p>
        </w:tc>
        <w:tc>
          <w:tcPr>
            <w:tcW w:type="dxa" w:w="997"/>
          </w:tcPr>
          <w:p>
            <w:r/>
            <w:r>
              <w:rPr>
                <w:b/>
                <w:sz w:val="15"/>
              </w:rPr>
              <w:t>2026/27</w:t>
            </w:r>
          </w:p>
        </w:tc>
      </w:tr>
      <w:tr>
        <w:tc>
          <w:tcPr>
            <w:tcW w:type="dxa" w:w="997"/>
          </w:tcPr>
          <w:p>
            <w:r/>
            <w:r>
              <w:rPr>
                <w:sz w:val="15"/>
              </w:rPr>
              <w:t>Production totale (1000 60-kg bags)</w:t>
            </w:r>
          </w:p>
        </w:tc>
        <w:tc>
          <w:tcPr>
            <w:tcW w:type="dxa" w:w="997"/>
          </w:tcPr>
          <w:p>
            <w:r/>
            <w:r>
              <w:rPr>
                <w:sz w:val="15"/>
              </w:rPr>
              <w:t>30 400</w:t>
            </w:r>
          </w:p>
        </w:tc>
        <w:tc>
          <w:tcPr>
            <w:tcW w:type="dxa" w:w="997"/>
          </w:tcPr>
          <w:p>
            <w:r/>
            <w:r>
              <w:rPr>
                <w:sz w:val="15"/>
              </w:rPr>
              <w:t>31 300</w:t>
            </w:r>
          </w:p>
        </w:tc>
        <w:tc>
          <w:tcPr>
            <w:tcW w:type="dxa" w:w="997"/>
          </w:tcPr>
          <w:p>
            <w:r/>
            <w:r>
              <w:rPr>
                <w:sz w:val="15"/>
              </w:rPr>
              <w:t>29 000</w:t>
            </w:r>
          </w:p>
        </w:tc>
        <w:tc>
          <w:tcPr>
            <w:tcW w:type="dxa" w:w="997"/>
          </w:tcPr>
          <w:p>
            <w:r/>
            <w:r>
              <w:rPr>
                <w:sz w:val="15"/>
              </w:rPr>
              <w:t>31 580</w:t>
            </w:r>
          </w:p>
        </w:tc>
        <w:tc>
          <w:tcPr>
            <w:tcW w:type="dxa" w:w="997"/>
          </w:tcPr>
          <w:p>
            <w:r/>
            <w:r>
              <w:rPr>
                <w:sz w:val="15"/>
              </w:rPr>
              <w:t>28 200</w:t>
            </w:r>
          </w:p>
        </w:tc>
        <w:tc>
          <w:tcPr>
            <w:tcW w:type="dxa" w:w="997"/>
          </w:tcPr>
          <w:p>
            <w:r/>
            <w:r>
              <w:rPr>
                <w:sz w:val="15"/>
              </w:rPr>
              <w:t>27 550</w:t>
            </w:r>
          </w:p>
        </w:tc>
        <w:tc>
          <w:tcPr>
            <w:tcW w:type="dxa" w:w="997"/>
          </w:tcPr>
          <w:p>
            <w:r/>
            <w:r>
              <w:rPr>
                <w:sz w:val="15"/>
              </w:rPr>
              <w:t>29 100</w:t>
            </w:r>
          </w:p>
        </w:tc>
        <w:tc>
          <w:tcPr>
            <w:tcW w:type="dxa" w:w="997"/>
          </w:tcPr>
          <w:p>
            <w:r/>
            <w:r>
              <w:rPr>
                <w:sz w:val="15"/>
              </w:rPr>
              <w:t>31 700</w:t>
            </w:r>
          </w:p>
        </w:tc>
        <w:tc>
          <w:tcPr>
            <w:tcW w:type="dxa" w:w="997"/>
          </w:tcPr>
          <w:p>
            <w:r/>
            <w:r>
              <w:rPr>
                <w:sz w:val="15"/>
              </w:rPr>
              <w:t>32 500</w:t>
            </w:r>
          </w:p>
        </w:tc>
      </w:tr>
      <w:tr>
        <w:tc>
          <w:tcPr>
            <w:tcW w:type="dxa" w:w="997"/>
          </w:tcPr>
          <w:p>
            <w:r/>
            <w:r>
              <w:rPr>
                <w:sz w:val="15"/>
              </w:rPr>
              <w:t>Arabica (1000 60-kg bags)</w:t>
            </w:r>
          </w:p>
        </w:tc>
        <w:tc>
          <w:tcPr>
            <w:tcW w:type="dxa" w:w="997"/>
          </w:tcPr>
          <w:p>
            <w:r/>
            <w:r>
              <w:rPr>
                <w:sz w:val="15"/>
              </w:rPr>
              <w:t>1 064</w:t>
            </w:r>
          </w:p>
        </w:tc>
        <w:tc>
          <w:tcPr>
            <w:tcW w:type="dxa" w:w="997"/>
          </w:tcPr>
          <w:p>
            <w:r/>
            <w:r>
              <w:rPr>
                <w:sz w:val="15"/>
              </w:rPr>
              <w:t>1 100</w:t>
            </w:r>
          </w:p>
        </w:tc>
        <w:tc>
          <w:tcPr>
            <w:tcW w:type="dxa" w:w="997"/>
          </w:tcPr>
          <w:p>
            <w:r/>
            <w:r>
              <w:rPr>
                <w:sz w:val="15"/>
              </w:rPr>
              <w:t>950</w:t>
            </w:r>
          </w:p>
        </w:tc>
        <w:tc>
          <w:tcPr>
            <w:tcW w:type="dxa" w:w="997"/>
          </w:tcPr>
          <w:p>
            <w:r/>
            <w:r>
              <w:rPr>
                <w:sz w:val="15"/>
              </w:rPr>
              <w:t>1 100</w:t>
            </w:r>
          </w:p>
        </w:tc>
        <w:tc>
          <w:tcPr>
            <w:tcW w:type="dxa" w:w="997"/>
          </w:tcPr>
          <w:p>
            <w:r/>
            <w:r>
              <w:rPr>
                <w:sz w:val="15"/>
              </w:rPr>
              <w:t>900</w:t>
            </w:r>
          </w:p>
        </w:tc>
        <w:tc>
          <w:tcPr>
            <w:tcW w:type="dxa" w:w="997"/>
          </w:tcPr>
          <w:p>
            <w:r/>
            <w:r>
              <w:rPr>
                <w:sz w:val="15"/>
              </w:rPr>
              <w:t>1 000</w:t>
            </w:r>
          </w:p>
        </w:tc>
        <w:tc>
          <w:tcPr>
            <w:tcW w:type="dxa" w:w="997"/>
          </w:tcPr>
          <w:p>
            <w:r/>
            <w:r>
              <w:rPr>
                <w:sz w:val="15"/>
              </w:rPr>
              <w:t>1 100</w:t>
            </w:r>
          </w:p>
        </w:tc>
        <w:tc>
          <w:tcPr>
            <w:tcW w:type="dxa" w:w="997"/>
          </w:tcPr>
          <w:p>
            <w:r/>
            <w:r>
              <w:rPr>
                <w:sz w:val="15"/>
              </w:rPr>
              <w:t>1 200</w:t>
            </w:r>
          </w:p>
        </w:tc>
        <w:tc>
          <w:tcPr>
            <w:tcW w:type="dxa" w:w="997"/>
          </w:tcPr>
          <w:p>
            <w:r/>
            <w:r>
              <w:rPr>
                <w:sz w:val="15"/>
              </w:rPr>
              <w:t>1 100</w:t>
            </w:r>
          </w:p>
        </w:tc>
      </w:tr>
      <w:tr>
        <w:tc>
          <w:tcPr>
            <w:tcW w:type="dxa" w:w="997"/>
          </w:tcPr>
          <w:p>
            <w:r/>
            <w:r>
              <w:rPr>
                <w:sz w:val="15"/>
              </w:rPr>
              <w:t>Robusta (1000 60-kg bags)</w:t>
            </w:r>
          </w:p>
        </w:tc>
        <w:tc>
          <w:tcPr>
            <w:tcW w:type="dxa" w:w="997"/>
          </w:tcPr>
          <w:p>
            <w:r/>
            <w:r>
              <w:rPr>
                <w:sz w:val="15"/>
              </w:rPr>
              <w:t>29 336</w:t>
            </w:r>
          </w:p>
        </w:tc>
        <w:tc>
          <w:tcPr>
            <w:tcW w:type="dxa" w:w="997"/>
          </w:tcPr>
          <w:p>
            <w:r/>
            <w:r>
              <w:rPr>
                <w:sz w:val="15"/>
              </w:rPr>
              <w:t>30 200</w:t>
            </w:r>
          </w:p>
        </w:tc>
        <w:tc>
          <w:tcPr>
            <w:tcW w:type="dxa" w:w="997"/>
          </w:tcPr>
          <w:p>
            <w:r/>
            <w:r>
              <w:rPr>
                <w:sz w:val="15"/>
              </w:rPr>
              <w:t>28 050</w:t>
            </w:r>
          </w:p>
        </w:tc>
        <w:tc>
          <w:tcPr>
            <w:tcW w:type="dxa" w:w="997"/>
          </w:tcPr>
          <w:p>
            <w:r/>
            <w:r>
              <w:rPr>
                <w:sz w:val="15"/>
              </w:rPr>
              <w:t>30 480</w:t>
            </w:r>
          </w:p>
        </w:tc>
        <w:tc>
          <w:tcPr>
            <w:tcW w:type="dxa" w:w="997"/>
          </w:tcPr>
          <w:p>
            <w:r/>
            <w:r>
              <w:rPr>
                <w:sz w:val="15"/>
              </w:rPr>
              <w:t>27 300</w:t>
            </w:r>
          </w:p>
        </w:tc>
        <w:tc>
          <w:tcPr>
            <w:tcW w:type="dxa" w:w="997"/>
          </w:tcPr>
          <w:p>
            <w:r/>
            <w:r>
              <w:rPr>
                <w:sz w:val="15"/>
              </w:rPr>
              <w:t>26 550</w:t>
            </w:r>
          </w:p>
        </w:tc>
        <w:tc>
          <w:tcPr>
            <w:tcW w:type="dxa" w:w="997"/>
          </w:tcPr>
          <w:p>
            <w:r/>
            <w:r>
              <w:rPr>
                <w:sz w:val="15"/>
              </w:rPr>
              <w:t>28 000</w:t>
            </w:r>
          </w:p>
        </w:tc>
        <w:tc>
          <w:tcPr>
            <w:tcW w:type="dxa" w:w="997"/>
          </w:tcPr>
          <w:p>
            <w:r/>
            <w:r>
              <w:rPr>
                <w:sz w:val="15"/>
              </w:rPr>
              <w:t>30 500</w:t>
            </w:r>
          </w:p>
        </w:tc>
        <w:tc>
          <w:tcPr>
            <w:tcW w:type="dxa" w:w="997"/>
          </w:tcPr>
          <w:p>
            <w:r/>
            <w:r>
              <w:rPr>
                <w:sz w:val="15"/>
              </w:rPr>
              <w:t>31 400</w:t>
            </w:r>
          </w:p>
        </w:tc>
      </w:tr>
      <w:tr>
        <w:tc>
          <w:tcPr>
            <w:tcW w:type="dxa" w:w="997"/>
          </w:tcPr>
          <w:p>
            <w:r/>
            <w:r>
              <w:rPr>
                <w:sz w:val="15"/>
              </w:rPr>
              <w:t>Surface totale (1000 ha)</w:t>
            </w:r>
          </w:p>
        </w:tc>
        <w:tc>
          <w:tcPr>
            <w:tcW w:type="dxa" w:w="997"/>
          </w:tcPr>
          <w:p>
            <w:r/>
            <w:r>
              <w:rPr>
                <w:sz w:val="15"/>
              </w:rPr>
              <w:t>682</w:t>
            </w:r>
          </w:p>
        </w:tc>
        <w:tc>
          <w:tcPr>
            <w:tcW w:type="dxa" w:w="997"/>
          </w:tcPr>
          <w:p>
            <w:r/>
            <w:r>
              <w:rPr>
                <w:sz w:val="15"/>
              </w:rPr>
              <w:t>690</w:t>
            </w:r>
          </w:p>
        </w:tc>
        <w:tc>
          <w:tcPr>
            <w:tcW w:type="dxa" w:w="997"/>
          </w:tcPr>
          <w:p>
            <w:r/>
            <w:r>
              <w:rPr>
                <w:sz w:val="15"/>
              </w:rPr>
              <w:t>697</w:t>
            </w:r>
          </w:p>
        </w:tc>
        <w:tc>
          <w:tcPr>
            <w:tcW w:type="dxa" w:w="997"/>
          </w:tcPr>
          <w:p>
            <w:r/>
            <w:r>
              <w:rPr>
                <w:sz w:val="15"/>
              </w:rPr>
              <w:t>706</w:t>
            </w:r>
          </w:p>
        </w:tc>
        <w:tc>
          <w:tcPr>
            <w:tcW w:type="dxa" w:w="997"/>
          </w:tcPr>
          <w:p>
            <w:r/>
            <w:r>
              <w:rPr>
                <w:sz w:val="15"/>
              </w:rPr>
              <w:t>710</w:t>
            </w:r>
          </w:p>
        </w:tc>
        <w:tc>
          <w:tcPr>
            <w:tcW w:type="dxa" w:w="997"/>
          </w:tcPr>
          <w:p>
            <w:r/>
            <w:r>
              <w:rPr>
                <w:sz w:val="15"/>
              </w:rPr>
              <w:t>715</w:t>
            </w:r>
          </w:p>
        </w:tc>
        <w:tc>
          <w:tcPr>
            <w:tcW w:type="dxa" w:w="997"/>
          </w:tcPr>
          <w:p>
            <w:r/>
            <w:r>
              <w:rPr>
                <w:sz w:val="15"/>
              </w:rPr>
              <w:t>715</w:t>
            </w:r>
          </w:p>
        </w:tc>
        <w:tc>
          <w:tcPr>
            <w:tcW w:type="dxa" w:w="997"/>
          </w:tcPr>
          <w:p>
            <w:r/>
            <w:r>
              <w:rPr>
                <w:sz w:val="15"/>
              </w:rPr>
              <w:t>730</w:t>
            </w:r>
          </w:p>
        </w:tc>
        <w:tc>
          <w:tcPr>
            <w:tcW w:type="dxa" w:w="997"/>
          </w:tcPr>
          <w:p>
            <w:r/>
            <w:r>
              <w:rPr>
                <w:sz w:val="15"/>
              </w:rPr>
              <w:t>730</w:t>
            </w:r>
          </w:p>
        </w:tc>
      </w:tr>
      <w:tr>
        <w:tc>
          <w:tcPr>
            <w:tcW w:type="dxa" w:w="997"/>
          </w:tcPr>
          <w:p>
            <w:r/>
            <w:r>
              <w:rPr>
                <w:sz w:val="15"/>
              </w:rPr>
              <w:t>Surface bearing (1000 ha)</w:t>
            </w:r>
          </w:p>
        </w:tc>
        <w:tc>
          <w:tcPr>
            <w:tcW w:type="dxa" w:w="997"/>
          </w:tcPr>
          <w:p>
            <w:r/>
            <w:r>
              <w:rPr>
                <w:sz w:val="15"/>
              </w:rPr>
              <w:t>607</w:t>
            </w:r>
          </w:p>
        </w:tc>
        <w:tc>
          <w:tcPr>
            <w:tcW w:type="dxa" w:w="997"/>
          </w:tcPr>
          <w:p>
            <w:r/>
            <w:r>
              <w:rPr>
                <w:sz w:val="15"/>
              </w:rPr>
              <w:t>620</w:t>
            </w:r>
          </w:p>
        </w:tc>
        <w:tc>
          <w:tcPr>
            <w:tcW w:type="dxa" w:w="997"/>
          </w:tcPr>
          <w:p>
            <w:r/>
            <w:r>
              <w:rPr>
                <w:sz w:val="15"/>
              </w:rPr>
              <w:t>620</w:t>
            </w:r>
          </w:p>
        </w:tc>
        <w:tc>
          <w:tcPr>
            <w:tcW w:type="dxa" w:w="997"/>
          </w:tcPr>
          <w:p>
            <w:r/>
            <w:r>
              <w:rPr>
                <w:sz w:val="15"/>
              </w:rPr>
              <w:t>620</w:t>
            </w:r>
          </w:p>
        </w:tc>
        <w:tc>
          <w:tcPr>
            <w:tcW w:type="dxa" w:w="997"/>
          </w:tcPr>
          <w:p>
            <w:r/>
            <w:r>
              <w:rPr>
                <w:sz w:val="15"/>
              </w:rPr>
              <w:t>612</w:t>
            </w:r>
          </w:p>
        </w:tc>
        <w:tc>
          <w:tcPr>
            <w:tcW w:type="dxa" w:w="997"/>
          </w:tcPr>
          <w:p>
            <w:r/>
            <w:r>
              <w:rPr>
                <w:sz w:val="15"/>
              </w:rPr>
              <w:t>612</w:t>
            </w:r>
          </w:p>
        </w:tc>
        <w:tc>
          <w:tcPr>
            <w:tcW w:type="dxa" w:w="997"/>
          </w:tcPr>
          <w:p>
            <w:r/>
            <w:r>
              <w:rPr>
                <w:sz w:val="15"/>
              </w:rPr>
              <w:t>615</w:t>
            </w:r>
          </w:p>
        </w:tc>
        <w:tc>
          <w:tcPr>
            <w:tcW w:type="dxa" w:w="997"/>
          </w:tcPr>
          <w:p>
            <w:r/>
            <w:r>
              <w:rPr>
                <w:sz w:val="15"/>
              </w:rPr>
              <w:t>630</w:t>
            </w:r>
          </w:p>
        </w:tc>
        <w:tc>
          <w:tcPr>
            <w:tcW w:type="dxa" w:w="997"/>
          </w:tcPr>
          <w:p>
            <w:r/>
            <w:r>
              <w:rPr>
                <w:sz w:val="15"/>
              </w:rPr>
              <w:t>644</w:t>
            </w:r>
          </w:p>
        </w:tc>
      </w:tr>
      <w:tr>
        <w:tc>
          <w:tcPr>
            <w:tcW w:type="dxa" w:w="997"/>
          </w:tcPr>
          <w:p>
            <w:r/>
            <w:r>
              <w:rPr>
                <w:sz w:val="15"/>
              </w:rPr>
              <w:t>Surface non-bearing (1000 ha)</w:t>
            </w:r>
          </w:p>
        </w:tc>
        <w:tc>
          <w:tcPr>
            <w:tcW w:type="dxa" w:w="997"/>
          </w:tcPr>
          <w:p>
            <w:r/>
            <w:r>
              <w:rPr>
                <w:sz w:val="15"/>
              </w:rPr>
              <w:t>75.0</w:t>
            </w:r>
          </w:p>
        </w:tc>
        <w:tc>
          <w:tcPr>
            <w:tcW w:type="dxa" w:w="997"/>
          </w:tcPr>
          <w:p>
            <w:r/>
            <w:r>
              <w:rPr>
                <w:sz w:val="15"/>
              </w:rPr>
              <w:t>70.0</w:t>
            </w:r>
          </w:p>
        </w:tc>
        <w:tc>
          <w:tcPr>
            <w:tcW w:type="dxa" w:w="997"/>
          </w:tcPr>
          <w:p>
            <w:r/>
            <w:r>
              <w:rPr>
                <w:sz w:val="15"/>
              </w:rPr>
              <w:t>77.0</w:t>
            </w:r>
          </w:p>
        </w:tc>
        <w:tc>
          <w:tcPr>
            <w:tcW w:type="dxa" w:w="997"/>
          </w:tcPr>
          <w:p>
            <w:r/>
            <w:r>
              <w:rPr>
                <w:sz w:val="15"/>
              </w:rPr>
              <w:t>86.0</w:t>
            </w:r>
          </w:p>
        </w:tc>
        <w:tc>
          <w:tcPr>
            <w:tcW w:type="dxa" w:w="997"/>
          </w:tcPr>
          <w:p>
            <w:r/>
            <w:r>
              <w:rPr>
                <w:sz w:val="15"/>
              </w:rPr>
              <w:t>98.5</w:t>
            </w:r>
          </w:p>
        </w:tc>
        <w:tc>
          <w:tcPr>
            <w:tcW w:type="dxa" w:w="997"/>
          </w:tcPr>
          <w:p>
            <w:r/>
            <w:r>
              <w:rPr>
                <w:sz w:val="15"/>
              </w:rPr>
              <w:t>104</w:t>
            </w:r>
          </w:p>
        </w:tc>
        <w:tc>
          <w:tcPr>
            <w:tcW w:type="dxa" w:w="997"/>
          </w:tcPr>
          <w:p>
            <w:r/>
            <w:r>
              <w:rPr>
                <w:sz w:val="15"/>
              </w:rPr>
              <w:t>100</w:t>
            </w:r>
          </w:p>
        </w:tc>
        <w:tc>
          <w:tcPr>
            <w:tcW w:type="dxa" w:w="997"/>
          </w:tcPr>
          <w:p>
            <w:r/>
            <w:r>
              <w:rPr>
                <w:sz w:val="15"/>
              </w:rPr>
              <w:t>99.8</w:t>
            </w:r>
          </w:p>
        </w:tc>
        <w:tc>
          <w:tcPr>
            <w:tcW w:type="dxa" w:w="997"/>
          </w:tcPr>
          <w:p>
            <w:r/>
            <w:r>
              <w:rPr>
                <w:sz w:val="15"/>
              </w:rPr>
              <w:t>86.0</w:t>
            </w:r>
          </w:p>
        </w:tc>
      </w:tr>
      <w:tr>
        <w:tc>
          <w:tcPr>
            <w:tcW w:type="dxa" w:w="997"/>
          </w:tcPr>
          <w:p>
            <w:r/>
            <w:r>
              <w:rPr>
                <w:sz w:val="15"/>
              </w:rPr>
              <w:t>Rendement (t/ha)</w:t>
            </w:r>
          </w:p>
        </w:tc>
        <w:tc>
          <w:tcPr>
            <w:tcW w:type="dxa" w:w="997"/>
          </w:tcPr>
          <w:p>
            <w:r/>
            <w:r>
              <w:rPr>
                <w:sz w:val="15"/>
              </w:rPr>
              <w:t>2.90</w:t>
            </w:r>
          </w:p>
        </w:tc>
        <w:tc>
          <w:tcPr>
            <w:tcW w:type="dxa" w:w="997"/>
          </w:tcPr>
          <w:p>
            <w:r/>
            <w:r>
              <w:rPr>
                <w:sz w:val="15"/>
              </w:rPr>
              <w:t>2.92</w:t>
            </w:r>
          </w:p>
        </w:tc>
        <w:tc>
          <w:tcPr>
            <w:tcW w:type="dxa" w:w="997"/>
          </w:tcPr>
          <w:p>
            <w:r/>
            <w:r>
              <w:rPr>
                <w:sz w:val="15"/>
              </w:rPr>
              <w:t>2.71</w:t>
            </w:r>
          </w:p>
        </w:tc>
        <w:tc>
          <w:tcPr>
            <w:tcW w:type="dxa" w:w="997"/>
          </w:tcPr>
          <w:p>
            <w:r/>
            <w:r>
              <w:rPr>
                <w:sz w:val="15"/>
              </w:rPr>
              <w:t>2.95</w:t>
            </w:r>
          </w:p>
        </w:tc>
        <w:tc>
          <w:tcPr>
            <w:tcW w:type="dxa" w:w="997"/>
          </w:tcPr>
          <w:p>
            <w:r/>
            <w:r>
              <w:rPr>
                <w:sz w:val="15"/>
              </w:rPr>
              <w:t>2.68</w:t>
            </w:r>
          </w:p>
        </w:tc>
        <w:tc>
          <w:tcPr>
            <w:tcW w:type="dxa" w:w="997"/>
          </w:tcPr>
          <w:p>
            <w:r/>
            <w:r>
              <w:rPr>
                <w:sz w:val="15"/>
              </w:rPr>
              <w:t>2.75</w:t>
            </w:r>
          </w:p>
        </w:tc>
        <w:tc>
          <w:tcPr>
            <w:tcW w:type="dxa" w:w="997"/>
          </w:tcPr>
          <w:p>
            <w:r/>
            <w:r>
              <w:rPr>
                <w:sz w:val="15"/>
              </w:rPr>
              <w:t>2.73</w:t>
            </w:r>
          </w:p>
        </w:tc>
        <w:tc>
          <w:tcPr>
            <w:tcW w:type="dxa" w:w="997"/>
          </w:tcPr>
          <w:p>
            <w:r/>
            <w:r>
              <w:rPr>
                <w:sz w:val="15"/>
              </w:rPr>
              <w:t>2.90</w:t>
            </w:r>
          </w:p>
        </w:tc>
        <w:tc>
          <w:tcPr>
            <w:tcW w:type="dxa" w:w="997"/>
          </w:tcPr>
          <w:p>
            <w:r/>
            <w:r>
              <w:rPr>
                <w:sz w:val="15"/>
              </w:rPr>
              <w:t>2.93</w:t>
            </w:r>
          </w:p>
        </w:tc>
      </w:tr>
    </w:tbl>
    <w:p/>
    <w:p>
      <w:r>
        <w:rPr>
          <w:b w:val="0"/>
          <w:i/>
          <w:color w:val="52514E"/>
          <w:sz w:val="16"/>
        </w:rPr>
        <w:t>2025/26 et 2026/27 sont des estimations / projections USDA, pas des récoltes réalisées.</w:t>
      </w:r>
    </w:p>
    <w:p>
      <w:pPr>
        <w:jc w:val="center"/>
      </w:pPr>
      <w:r>
        <w:drawing>
          <wp:inline xmlns:a="http://schemas.openxmlformats.org/drawingml/2006/main" xmlns:pic="http://schemas.openxmlformats.org/drawingml/2006/picture">
            <wp:extent cx="6120000" cy="1637258"/>
            <wp:docPr id="3" name="Picture 3"/>
            <wp:cNvGraphicFramePr>
              <a:graphicFrameLocks noChangeAspect="1"/>
            </wp:cNvGraphicFramePr>
            <a:graphic>
              <a:graphicData uri="http://schemas.openxmlformats.org/drawingml/2006/picture">
                <pic:pic>
                  <pic:nvPicPr>
                    <pic:cNvPr id="0" name="vietnam_history.png"/>
                    <pic:cNvPicPr/>
                  </pic:nvPicPr>
                  <pic:blipFill>
                    <a:blip r:embed="rId11"/>
                    <a:stretch>
                      <a:fillRect/>
                    </a:stretch>
                  </pic:blipFill>
                  <pic:spPr>
                    <a:xfrm>
                      <a:off x="0" y="0"/>
                      <a:ext cx="6120000" cy="1637258"/>
                    </a:xfrm>
                    <a:prstGeom prst="rect"/>
                  </pic:spPr>
                </pic:pic>
              </a:graphicData>
            </a:graphic>
          </wp:inline>
        </w:drawing>
      </w:r>
    </w:p>
    <w:p>
      <w:r>
        <w:rPr>
          <w:b w:val="0"/>
          <w:i/>
          <w:color w:val="52514E"/>
          <w:sz w:val="16"/>
        </w:rPr>
        <w:t>Figure 3. Production, surfaces et rendement ; fond coloré = phase ENSO de la campagne.</w:t>
      </w:r>
    </w:p>
    <w:p>
      <w:r>
        <w:rPr>
          <w:b w:val="0"/>
          <w:i w:val="0"/>
          <w:sz w:val="20"/>
        </w:rPr>
        <w:t>Décomposition de la croissance 1995/96 → 2025/26 : production +7.2 %/an = surface bearing +6.3 %/an + rendement +0.8 %/an (rendement implicite 39.2 → 50.3 sacs par ha bearing).</w:t>
      </w:r>
    </w:p>
    <w:p>
      <w:pPr>
        <w:pStyle w:val="Heading1"/>
      </w:pPr>
      <w:r>
        <w:t>5. Les déterminants du rendement, quantifiés</w:t>
      </w:r>
    </w:p>
    <w:p>
      <w:r>
        <w:rPr>
          <w:b w:val="0"/>
          <w:i w:val="0"/>
          <w:sz w:val="20"/>
        </w:rPr>
        <w:t>Tendance : le modèle ARIMA(0,1,1) avec dérive du rendement s'écrit ∇X_t = 0.04729 + ε_t − 0.711·ε_{t-1} ; ∇X_t = X_t − X_{t-1}. La dérive vaut +0.0473 par campagne.</w:t>
      </w:r>
    </w:p>
    <w:p>
      <w:r>
        <w:rPr>
          <w:b/>
          <w:i w:val="0"/>
          <w:sz w:val="20"/>
        </w:rPr>
        <w:t>Les plus grands écarts de rendement (Yield) et leur cause documentée :</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134"/>
          </w:tcPr>
          <w:p>
            <w:r/>
            <w:r>
              <w:rPr>
                <w:b/>
                <w:sz w:val="16"/>
              </w:rPr>
              <w:t>Campagne</w:t>
            </w:r>
          </w:p>
        </w:tc>
        <w:tc>
          <w:tcPr>
            <w:tcW w:type="dxa" w:w="1247"/>
          </w:tcPr>
          <w:p>
            <w:r/>
            <w:r>
              <w:rPr>
                <w:b/>
                <w:sz w:val="16"/>
              </w:rPr>
              <w:t>Écart aux voisines</w:t>
            </w:r>
          </w:p>
        </w:tc>
        <w:tc>
          <w:tcPr>
            <w:tcW w:type="dxa" w:w="1247"/>
          </w:tcPr>
          <w:p>
            <w:r/>
            <w:r>
              <w:rPr>
                <w:b/>
                <w:sz w:val="16"/>
              </w:rPr>
              <w:t>Variation annuelle</w:t>
            </w:r>
          </w:p>
        </w:tc>
        <w:tc>
          <w:tcPr>
            <w:tcW w:type="dxa" w:w="1928"/>
          </w:tcPr>
          <w:p>
            <w:r/>
            <w:r>
              <w:rPr>
                <w:b/>
                <w:sz w:val="16"/>
              </w:rPr>
              <w:t>Épisode ENSO pilote (ONI)</w:t>
            </w:r>
          </w:p>
        </w:tc>
        <w:tc>
          <w:tcPr>
            <w:tcW w:type="dxa" w:w="4082"/>
          </w:tcPr>
          <w:p>
            <w:r/>
            <w:r>
              <w:rPr>
                <w:b/>
                <w:sz w:val="16"/>
              </w:rPr>
              <w:t>Cause documentée</w:t>
            </w:r>
          </w:p>
        </w:tc>
      </w:tr>
      <w:tr>
        <w:tc>
          <w:tcPr>
            <w:tcW w:type="dxa" w:w="1134"/>
          </w:tcPr>
          <w:p>
            <w:r/>
            <w:r>
              <w:rPr>
                <w:sz w:val="16"/>
              </w:rPr>
              <w:t>2005/06</w:t>
            </w:r>
          </w:p>
        </w:tc>
        <w:tc>
          <w:tcPr>
            <w:tcW w:type="dxa" w:w="1247"/>
          </w:tcPr>
          <w:p>
            <w:r/>
            <w:r>
              <w:rPr>
                <w:sz w:val="16"/>
              </w:rPr>
              <w:t>-19.3 %</w:t>
            </w:r>
          </w:p>
        </w:tc>
        <w:tc>
          <w:tcPr>
            <w:tcW w:type="dxa" w:w="1247"/>
          </w:tcPr>
          <w:p>
            <w:r/>
            <w:r>
              <w:rPr>
                <w:sz w:val="16"/>
              </w:rPr>
              <w:t>-4.0 %</w:t>
            </w:r>
          </w:p>
        </w:tc>
        <w:tc>
          <w:tcPr>
            <w:tcW w:type="dxa" w:w="1928"/>
          </w:tcPr>
          <w:p>
            <w:r/>
            <w:r>
              <w:rPr>
                <w:sz w:val="16"/>
              </w:rPr>
              <w:t>El Niño 2004/05 (+0.7)</w:t>
            </w:r>
          </w:p>
        </w:tc>
        <w:tc>
          <w:tcPr>
            <w:tcW w:type="dxa" w:w="4082"/>
          </w:tcPr>
          <w:p>
            <w:r/>
            <w:r>
              <w:rPr>
                <w:sz w:val="16"/>
              </w:rPr>
            </w:r>
          </w:p>
        </w:tc>
      </w:tr>
      <w:tr>
        <w:tc>
          <w:tcPr>
            <w:tcW w:type="dxa" w:w="1134"/>
          </w:tcPr>
          <w:p>
            <w:r/>
            <w:r>
              <w:rPr>
                <w:sz w:val="16"/>
              </w:rPr>
              <w:t>2004/05</w:t>
            </w:r>
          </w:p>
        </w:tc>
        <w:tc>
          <w:tcPr>
            <w:tcW w:type="dxa" w:w="1247"/>
          </w:tcPr>
          <w:p>
            <w:r/>
            <w:r>
              <w:rPr>
                <w:sz w:val="16"/>
              </w:rPr>
              <w:t>-13.0 %</w:t>
            </w:r>
          </w:p>
        </w:tc>
        <w:tc>
          <w:tcPr>
            <w:tcW w:type="dxa" w:w="1247"/>
          </w:tcPr>
          <w:p>
            <w:r/>
            <w:r>
              <w:rPr>
                <w:sz w:val="16"/>
              </w:rPr>
              <w:t>-2.2 %</w:t>
            </w:r>
          </w:p>
        </w:tc>
        <w:tc>
          <w:tcPr>
            <w:tcW w:type="dxa" w:w="1928"/>
          </w:tcPr>
          <w:p>
            <w:r/>
            <w:r>
              <w:rPr>
                <w:sz w:val="16"/>
              </w:rPr>
              <w:t>neutre 2003/04 (+0.4)</w:t>
            </w:r>
          </w:p>
        </w:tc>
        <w:tc>
          <w:tcPr>
            <w:tcW w:type="dxa" w:w="4082"/>
          </w:tcPr>
          <w:p>
            <w:r/>
            <w:r>
              <w:rPr>
                <w:sz w:val="16"/>
              </w:rPr>
            </w:r>
          </w:p>
        </w:tc>
      </w:tr>
      <w:tr>
        <w:tc>
          <w:tcPr>
            <w:tcW w:type="dxa" w:w="1134"/>
          </w:tcPr>
          <w:p>
            <w:r/>
            <w:r>
              <w:rPr>
                <w:sz w:val="16"/>
              </w:rPr>
              <w:t>2009/10</w:t>
            </w:r>
          </w:p>
        </w:tc>
        <w:tc>
          <w:tcPr>
            <w:tcW w:type="dxa" w:w="1247"/>
          </w:tcPr>
          <w:p>
            <w:r/>
            <w:r>
              <w:rPr>
                <w:sz w:val="16"/>
              </w:rPr>
              <w:t>-7.3 %</w:t>
            </w:r>
          </w:p>
        </w:tc>
        <w:tc>
          <w:tcPr>
            <w:tcW w:type="dxa" w:w="1247"/>
          </w:tcPr>
          <w:p>
            <w:r/>
            <w:r>
              <w:rPr>
                <w:sz w:val="16"/>
              </w:rPr>
              <w:t>-3.2 %</w:t>
            </w:r>
          </w:p>
        </w:tc>
        <w:tc>
          <w:tcPr>
            <w:tcW w:type="dxa" w:w="1928"/>
          </w:tcPr>
          <w:p>
            <w:r/>
            <w:r>
              <w:rPr>
                <w:sz w:val="16"/>
              </w:rPr>
              <w:t>La Niña 2008/09 (-1.0)</w:t>
            </w:r>
          </w:p>
        </w:tc>
        <w:tc>
          <w:tcPr>
            <w:tcW w:type="dxa" w:w="4082"/>
          </w:tcPr>
          <w:p>
            <w:r/>
            <w:r>
              <w:rPr>
                <w:sz w:val="16"/>
              </w:rPr>
            </w:r>
          </w:p>
        </w:tc>
      </w:tr>
      <w:tr>
        <w:tc>
          <w:tcPr>
            <w:tcW w:type="dxa" w:w="1134"/>
          </w:tcPr>
          <w:p>
            <w:r/>
            <w:r>
              <w:rPr>
                <w:sz w:val="16"/>
              </w:rPr>
              <w:t>2020/21</w:t>
            </w:r>
          </w:p>
        </w:tc>
        <w:tc>
          <w:tcPr>
            <w:tcW w:type="dxa" w:w="1247"/>
          </w:tcPr>
          <w:p>
            <w:r/>
            <w:r>
              <w:rPr>
                <w:sz w:val="16"/>
              </w:rPr>
              <w:t>-5.3 %</w:t>
            </w:r>
          </w:p>
        </w:tc>
        <w:tc>
          <w:tcPr>
            <w:tcW w:type="dxa" w:w="1247"/>
          </w:tcPr>
          <w:p>
            <w:r/>
            <w:r>
              <w:rPr>
                <w:sz w:val="16"/>
              </w:rPr>
              <w:t>-7.2 %</w:t>
            </w:r>
          </w:p>
        </w:tc>
        <w:tc>
          <w:tcPr>
            <w:tcW w:type="dxa" w:w="1928"/>
          </w:tcPr>
          <w:p>
            <w:r/>
            <w:r>
              <w:rPr>
                <w:sz w:val="16"/>
              </w:rPr>
              <w:t>La Niña 2019/20 (-0.7)</w:t>
            </w:r>
          </w:p>
        </w:tc>
        <w:tc>
          <w:tcPr>
            <w:tcW w:type="dxa" w:w="4082"/>
          </w:tcPr>
          <w:p>
            <w:r/>
            <w:r>
              <w:rPr>
                <w:sz w:val="16"/>
              </w:rPr>
              <w:t>La Niña 2020-21 : bonnes réserves, 30,2 M sacs</w:t>
            </w:r>
          </w:p>
        </w:tc>
      </w:tr>
      <w:tr>
        <w:tc>
          <w:tcPr>
            <w:tcW w:type="dxa" w:w="1134"/>
          </w:tcPr>
          <w:p>
            <w:r/>
            <w:r>
              <w:rPr>
                <w:sz w:val="16"/>
              </w:rPr>
              <w:t>2006/07</w:t>
            </w:r>
          </w:p>
        </w:tc>
        <w:tc>
          <w:tcPr>
            <w:tcW w:type="dxa" w:w="1247"/>
          </w:tcPr>
          <w:p>
            <w:r/>
            <w:r>
              <w:rPr>
                <w:sz w:val="16"/>
              </w:rPr>
              <w:t>+31.5 %</w:t>
            </w:r>
          </w:p>
        </w:tc>
        <w:tc>
          <w:tcPr>
            <w:tcW w:type="dxa" w:w="1247"/>
          </w:tcPr>
          <w:p>
            <w:r/>
            <w:r>
              <w:rPr>
                <w:sz w:val="16"/>
              </w:rPr>
              <w:t>+52.7 %</w:t>
            </w:r>
          </w:p>
        </w:tc>
        <w:tc>
          <w:tcPr>
            <w:tcW w:type="dxa" w:w="1928"/>
          </w:tcPr>
          <w:p>
            <w:r/>
            <w:r>
              <w:rPr>
                <w:sz w:val="16"/>
              </w:rPr>
              <w:t>La Niña 2005/06 (-0.9)</w:t>
            </w:r>
          </w:p>
        </w:tc>
        <w:tc>
          <w:tcPr>
            <w:tcW w:type="dxa" w:w="4082"/>
          </w:tcPr>
          <w:p>
            <w:r/>
            <w:r>
              <w:rPr>
                <w:sz w:val="16"/>
              </w:rPr>
            </w:r>
          </w:p>
        </w:tc>
      </w:tr>
      <w:tr>
        <w:tc>
          <w:tcPr>
            <w:tcW w:type="dxa" w:w="1134"/>
          </w:tcPr>
          <w:p>
            <w:r/>
            <w:r>
              <w:rPr>
                <w:sz w:val="16"/>
              </w:rPr>
              <w:t>2013/14</w:t>
            </w:r>
          </w:p>
        </w:tc>
        <w:tc>
          <w:tcPr>
            <w:tcW w:type="dxa" w:w="1247"/>
          </w:tcPr>
          <w:p>
            <w:r/>
            <w:r>
              <w:rPr>
                <w:sz w:val="16"/>
              </w:rPr>
              <w:t>+7.2 %</w:t>
            </w:r>
          </w:p>
        </w:tc>
        <w:tc>
          <w:tcPr>
            <w:tcW w:type="dxa" w:w="1247"/>
          </w:tcPr>
          <w:p>
            <w:r/>
            <w:r>
              <w:rPr>
                <w:sz w:val="16"/>
              </w:rPr>
              <w:t>+8.9 %</w:t>
            </w:r>
          </w:p>
        </w:tc>
        <w:tc>
          <w:tcPr>
            <w:tcW w:type="dxa" w:w="1928"/>
          </w:tcPr>
          <w:p>
            <w:r/>
            <w:r>
              <w:rPr>
                <w:sz w:val="16"/>
              </w:rPr>
              <w:t>neutre 2012/13 (-0.6)</w:t>
            </w:r>
          </w:p>
        </w:tc>
        <w:tc>
          <w:tcPr>
            <w:tcW w:type="dxa" w:w="4082"/>
          </w:tcPr>
          <w:p>
            <w:r/>
            <w:r>
              <w:rPr>
                <w:sz w:val="16"/>
              </w:rPr>
              <w:t>campagne record 2013/14 (30,5 M) : pluies abondantes et vergers jeunes</w:t>
            </w:r>
          </w:p>
        </w:tc>
      </w:tr>
      <w:tr>
        <w:tc>
          <w:tcPr>
            <w:tcW w:type="dxa" w:w="1134"/>
          </w:tcPr>
          <w:p>
            <w:r/>
            <w:r>
              <w:rPr>
                <w:sz w:val="16"/>
              </w:rPr>
              <w:t>2021/22</w:t>
            </w:r>
          </w:p>
        </w:tc>
        <w:tc>
          <w:tcPr>
            <w:tcW w:type="dxa" w:w="1247"/>
          </w:tcPr>
          <w:p>
            <w:r/>
            <w:r>
              <w:rPr>
                <w:sz w:val="16"/>
              </w:rPr>
              <w:t>+6.7 %</w:t>
            </w:r>
          </w:p>
        </w:tc>
        <w:tc>
          <w:tcPr>
            <w:tcW w:type="dxa" w:w="1247"/>
          </w:tcPr>
          <w:p>
            <w:r/>
            <w:r>
              <w:rPr>
                <w:sz w:val="16"/>
              </w:rPr>
              <w:t>+8.9 %</w:t>
            </w:r>
          </w:p>
        </w:tc>
        <w:tc>
          <w:tcPr>
            <w:tcW w:type="dxa" w:w="1928"/>
          </w:tcPr>
          <w:p>
            <w:r/>
            <w:r>
              <w:rPr>
                <w:sz w:val="16"/>
              </w:rPr>
              <w:t>La Niña 2020/21 (-1.5)</w:t>
            </w:r>
          </w:p>
        </w:tc>
        <w:tc>
          <w:tcPr>
            <w:tcW w:type="dxa" w:w="4082"/>
          </w:tcPr>
          <w:p>
            <w:r/>
            <w:r>
              <w:rPr>
                <w:sz w:val="16"/>
              </w:rPr>
            </w:r>
          </w:p>
        </w:tc>
      </w:tr>
    </w:tbl>
    <w:p/>
    <w:p>
      <w:r>
        <w:rPr>
          <w:b w:val="0"/>
          <w:i w:val="0"/>
          <w:sz w:val="20"/>
        </w:rPr>
        <w:t>Sur 29 campagnes, 16 ont une production sous la moyenne de leurs voisines ; écart-type des écarts 15.7 % : c'est l'ordre de grandeur de l'aléa annuel que la météo et le cycle imposent, à comparer à la tendance.</w:t>
      </w:r>
    </w:p>
    <w:p>
      <w:pPr>
        <w:pStyle w:val="Heading1"/>
      </w:pPr>
      <w:r>
        <w:t>6. El Niño / La Niña : ce que l'histoire montre pour cette origine</w:t>
      </w:r>
    </w:p>
    <w:p>
      <w:r>
        <w:rPr>
          <w:b w:val="0"/>
          <w:i w:val="0"/>
          <w:sz w:val="20"/>
        </w:rPr>
        <w:t>Climatologie établie : El Niño affaiblit la mousson et allonge la saison sèche des Hauts Plateaux ; les réservoirs se vident, l'irrigation de février-avril est rationnée, les températures montent (sécheresses de 1998, 2005, 2016 et 2024). La Niña apporte des pluies plus abondantes, de bonnes réserves d'eau mais des typhons et un séchage difficile à la récolte. Pour le robusta irrigué, El Niño est nettement négatif (nouaison et calibre), La Niña plutôt positif.</w:t>
      </w:r>
    </w:p>
    <w:p>
      <w:r>
        <w:rPr>
          <w:b w:val="0"/>
          <w:i w:val="0"/>
          <w:sz w:val="20"/>
        </w:rPr>
        <w:t>Méthode : chaque campagne reçoit la phase de l'épisode ENSO qui pilote sa croissance (voir section 3) ; l'écart de rendement et de production est mesuré par rapport à la moyenne des deux campagnes précédentes et des deux suivantes, ce qui neutralise la tendance et, au Brésil, le cycle ON/OFF (retiré au préalable). Les moyennes par phase sont ensuite comparées ; « fort » = pic |ONI| ≥ 1.</w:t>
      </w:r>
    </w:p>
    <w:p>
      <w:pPr>
        <w:jc w:val="center"/>
      </w:pPr>
      <w:r>
        <w:drawing>
          <wp:inline xmlns:a="http://schemas.openxmlformats.org/drawingml/2006/main" xmlns:pic="http://schemas.openxmlformats.org/drawingml/2006/picture">
            <wp:extent cx="5760000" cy="2193735"/>
            <wp:docPr id="4" name="Picture 4"/>
            <wp:cNvGraphicFramePr>
              <a:graphicFrameLocks noChangeAspect="1"/>
            </wp:cNvGraphicFramePr>
            <a:graphic>
              <a:graphicData uri="http://schemas.openxmlformats.org/drawingml/2006/picture">
                <pic:pic>
                  <pic:nvPicPr>
                    <pic:cNvPr id="0" name="vietnam_enso.png"/>
                    <pic:cNvPicPr/>
                  </pic:nvPicPr>
                  <pic:blipFill>
                    <a:blip r:embed="rId12"/>
                    <a:stretch>
                      <a:fillRect/>
                    </a:stretch>
                  </pic:blipFill>
                  <pic:spPr>
                    <a:xfrm>
                      <a:off x="0" y="0"/>
                      <a:ext cx="5760000" cy="2193735"/>
                    </a:xfrm>
                    <a:prstGeom prst="rect"/>
                  </pic:spPr>
                </pic:pic>
              </a:graphicData>
            </a:graphic>
          </wp:inline>
        </w:drawing>
      </w:r>
    </w:p>
    <w:p>
      <w:r>
        <w:rPr>
          <w:b w:val="0"/>
          <w:i/>
          <w:color w:val="52514E"/>
          <w:sz w:val="16"/>
        </w:rPr>
        <w:t>Figure 5. Écart moyen du rendement et de la production par phase ENSO.</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814"/>
          </w:tcPr>
          <w:p>
            <w:r/>
            <w:r>
              <w:rPr>
                <w:b/>
                <w:sz w:val="15"/>
              </w:rPr>
              <w:t>Phase</w:t>
            </w:r>
          </w:p>
        </w:tc>
        <w:tc>
          <w:tcPr>
            <w:tcW w:type="dxa" w:w="567"/>
          </w:tcPr>
          <w:p>
            <w:r/>
            <w:r>
              <w:rPr>
                <w:b/>
                <w:sz w:val="15"/>
              </w:rPr>
              <w:t>n</w:t>
            </w:r>
          </w:p>
        </w:tc>
        <w:tc>
          <w:tcPr>
            <w:tcW w:type="dxa" w:w="1361"/>
          </w:tcPr>
          <w:p>
            <w:r/>
            <w:r>
              <w:rPr>
                <w:b/>
                <w:sz w:val="15"/>
              </w:rPr>
              <w:t>Rendement : écart moyen</w:t>
            </w:r>
          </w:p>
        </w:tc>
        <w:tc>
          <w:tcPr>
            <w:tcW w:type="dxa" w:w="1134"/>
          </w:tcPr>
          <w:p>
            <w:r/>
            <w:r>
              <w:rPr>
                <w:b/>
                <w:sz w:val="15"/>
              </w:rPr>
              <w:t>% sous la moyenne</w:t>
            </w:r>
          </w:p>
        </w:tc>
        <w:tc>
          <w:tcPr>
            <w:tcW w:type="dxa" w:w="1361"/>
          </w:tcPr>
          <w:p>
            <w:r/>
            <w:r>
              <w:rPr>
                <w:b/>
                <w:sz w:val="15"/>
              </w:rPr>
              <w:t>Production : écart moyen</w:t>
            </w:r>
          </w:p>
        </w:tc>
        <w:tc>
          <w:tcPr>
            <w:tcW w:type="dxa" w:w="3402"/>
          </w:tcPr>
          <w:p>
            <w:r/>
            <w:r>
              <w:rPr>
                <w:b/>
                <w:sz w:val="15"/>
              </w:rPr>
              <w:t>Campagnes</w:t>
            </w:r>
          </w:p>
        </w:tc>
      </w:tr>
      <w:tr>
        <w:tc>
          <w:tcPr>
            <w:tcW w:type="dxa" w:w="1814"/>
          </w:tcPr>
          <w:p>
            <w:r/>
            <w:r>
              <w:rPr>
                <w:sz w:val="15"/>
              </w:rPr>
              <w:t>El Niño fort (≥ 1,6)</w:t>
            </w:r>
          </w:p>
        </w:tc>
        <w:tc>
          <w:tcPr>
            <w:tcW w:type="dxa" w:w="567"/>
          </w:tcPr>
          <w:p>
            <w:r/>
            <w:r>
              <w:rPr>
                <w:sz w:val="15"/>
              </w:rPr>
              <w:t>1</w:t>
            </w:r>
          </w:p>
        </w:tc>
        <w:tc>
          <w:tcPr>
            <w:tcW w:type="dxa" w:w="1361"/>
          </w:tcPr>
          <w:p>
            <w:r/>
            <w:r>
              <w:rPr>
                <w:sz w:val="15"/>
              </w:rPr>
              <w:t>-4.2 %</w:t>
            </w:r>
          </w:p>
        </w:tc>
        <w:tc>
          <w:tcPr>
            <w:tcW w:type="dxa" w:w="1134"/>
          </w:tcPr>
          <w:p>
            <w:r/>
            <w:r>
              <w:rPr>
                <w:sz w:val="15"/>
              </w:rPr>
              <w:t>100 %</w:t>
            </w:r>
          </w:p>
        </w:tc>
        <w:tc>
          <w:tcPr>
            <w:tcW w:type="dxa" w:w="1361"/>
          </w:tcPr>
          <w:p>
            <w:r/>
            <w:r>
              <w:rPr>
                <w:sz w:val="15"/>
              </w:rPr>
              <w:t>-16.3 %</w:t>
            </w:r>
          </w:p>
        </w:tc>
        <w:tc>
          <w:tcPr>
            <w:tcW w:type="dxa" w:w="3402"/>
          </w:tcPr>
          <w:p>
            <w:r/>
            <w:r>
              <w:rPr>
                <w:sz w:val="15"/>
              </w:rPr>
              <w:t>2016/17</w:t>
            </w:r>
          </w:p>
        </w:tc>
      </w:tr>
      <w:tr>
        <w:tc>
          <w:tcPr>
            <w:tcW w:type="dxa" w:w="1814"/>
          </w:tcPr>
          <w:p>
            <w:r/>
            <w:r>
              <w:rPr>
                <w:sz w:val="15"/>
              </w:rPr>
              <w:t>El Niño (0,5 à 1,5)</w:t>
            </w:r>
          </w:p>
        </w:tc>
        <w:tc>
          <w:tcPr>
            <w:tcW w:type="dxa" w:w="567"/>
          </w:tcPr>
          <w:p>
            <w:r/>
            <w:r>
              <w:rPr>
                <w:sz w:val="15"/>
              </w:rPr>
              <w:t>6</w:t>
            </w:r>
          </w:p>
        </w:tc>
        <w:tc>
          <w:tcPr>
            <w:tcW w:type="dxa" w:w="1361"/>
          </w:tcPr>
          <w:p>
            <w:r/>
            <w:r>
              <w:rPr>
                <w:sz w:val="15"/>
              </w:rPr>
              <w:t>-3.1 %</w:t>
            </w:r>
          </w:p>
        </w:tc>
        <w:tc>
          <w:tcPr>
            <w:tcW w:type="dxa" w:w="1134"/>
          </w:tcPr>
          <w:p>
            <w:r/>
            <w:r>
              <w:rPr>
                <w:sz w:val="15"/>
              </w:rPr>
              <w:t>67 %</w:t>
            </w:r>
          </w:p>
        </w:tc>
        <w:tc>
          <w:tcPr>
            <w:tcW w:type="dxa" w:w="1361"/>
          </w:tcPr>
          <w:p>
            <w:r/>
            <w:r>
              <w:rPr>
                <w:sz w:val="15"/>
              </w:rPr>
              <w:t>-1.1 %</w:t>
            </w:r>
          </w:p>
        </w:tc>
        <w:tc>
          <w:tcPr>
            <w:tcW w:type="dxa" w:w="3402"/>
          </w:tcPr>
          <w:p>
            <w:r/>
            <w:r>
              <w:rPr>
                <w:sz w:val="15"/>
              </w:rPr>
              <w:t>2005/06 2007/08 2010/11 2015/16 2019/20 2024/25</w:t>
            </w:r>
          </w:p>
        </w:tc>
      </w:tr>
      <w:tr>
        <w:tc>
          <w:tcPr>
            <w:tcW w:type="dxa" w:w="1814"/>
          </w:tcPr>
          <w:p>
            <w:r/>
            <w:r>
              <w:rPr>
                <w:sz w:val="15"/>
              </w:rPr>
              <w:t>neutre</w:t>
            </w:r>
          </w:p>
        </w:tc>
        <w:tc>
          <w:tcPr>
            <w:tcW w:type="dxa" w:w="567"/>
          </w:tcPr>
          <w:p>
            <w:r/>
            <w:r>
              <w:rPr>
                <w:sz w:val="15"/>
              </w:rPr>
              <w:t>3</w:t>
            </w:r>
          </w:p>
        </w:tc>
        <w:tc>
          <w:tcPr>
            <w:tcW w:type="dxa" w:w="1361"/>
          </w:tcPr>
          <w:p>
            <w:r/>
            <w:r>
              <w:rPr>
                <w:sz w:val="15"/>
              </w:rPr>
              <w:t>-3.0 %</w:t>
            </w:r>
          </w:p>
        </w:tc>
        <w:tc>
          <w:tcPr>
            <w:tcW w:type="dxa" w:w="1134"/>
          </w:tcPr>
          <w:p>
            <w:r/>
            <w:r>
              <w:rPr>
                <w:sz w:val="15"/>
              </w:rPr>
              <w:t>67 %</w:t>
            </w:r>
          </w:p>
        </w:tc>
        <w:tc>
          <w:tcPr>
            <w:tcW w:type="dxa" w:w="1361"/>
          </w:tcPr>
          <w:p>
            <w:r/>
            <w:r>
              <w:rPr>
                <w:sz w:val="15"/>
              </w:rPr>
              <w:t>-3.9 %</w:t>
            </w:r>
          </w:p>
        </w:tc>
        <w:tc>
          <w:tcPr>
            <w:tcW w:type="dxa" w:w="3402"/>
          </w:tcPr>
          <w:p>
            <w:r/>
            <w:r>
              <w:rPr>
                <w:sz w:val="15"/>
              </w:rPr>
              <w:t>2004/05 2013/14 2014/15</w:t>
            </w:r>
          </w:p>
        </w:tc>
      </w:tr>
      <w:tr>
        <w:tc>
          <w:tcPr>
            <w:tcW w:type="dxa" w:w="1814"/>
          </w:tcPr>
          <w:p>
            <w:r/>
            <w:r>
              <w:rPr>
                <w:sz w:val="15"/>
              </w:rPr>
              <w:t>La Niña</w:t>
            </w:r>
          </w:p>
        </w:tc>
        <w:tc>
          <w:tcPr>
            <w:tcW w:type="dxa" w:w="567"/>
          </w:tcPr>
          <w:p>
            <w:r/>
            <w:r>
              <w:rPr>
                <w:sz w:val="15"/>
              </w:rPr>
              <w:t>9</w:t>
            </w:r>
          </w:p>
        </w:tc>
        <w:tc>
          <w:tcPr>
            <w:tcW w:type="dxa" w:w="1361"/>
          </w:tcPr>
          <w:p>
            <w:r/>
            <w:r>
              <w:rPr>
                <w:sz w:val="15"/>
              </w:rPr>
              <w:t>+2.9 %</w:t>
            </w:r>
          </w:p>
        </w:tc>
        <w:tc>
          <w:tcPr>
            <w:tcW w:type="dxa" w:w="1134"/>
          </w:tcPr>
          <w:p>
            <w:r/>
            <w:r>
              <w:rPr>
                <w:sz w:val="15"/>
              </w:rPr>
              <w:t>44 %</w:t>
            </w:r>
          </w:p>
        </w:tc>
        <w:tc>
          <w:tcPr>
            <w:tcW w:type="dxa" w:w="1361"/>
          </w:tcPr>
          <w:p>
            <w:r/>
            <w:r>
              <w:rPr>
                <w:sz w:val="15"/>
              </w:rPr>
              <w:t>+0.1 %</w:t>
            </w:r>
          </w:p>
        </w:tc>
        <w:tc>
          <w:tcPr>
            <w:tcW w:type="dxa" w:w="3402"/>
          </w:tcPr>
          <w:p>
            <w:r/>
            <w:r>
              <w:rPr>
                <w:sz w:val="15"/>
              </w:rPr>
              <w:t>2006/07 2009/10 2012/13 2017/18 2018/19 2020/21 2021/22 2022/23 2023/24</w:t>
            </w:r>
          </w:p>
        </w:tc>
      </w:tr>
      <w:tr>
        <w:tc>
          <w:tcPr>
            <w:tcW w:type="dxa" w:w="1814"/>
          </w:tcPr>
          <w:p>
            <w:r/>
            <w:r>
              <w:rPr>
                <w:sz w:val="15"/>
              </w:rPr>
              <w:t>La Niña forte (≤ −1,6)</w:t>
            </w:r>
          </w:p>
        </w:tc>
        <w:tc>
          <w:tcPr>
            <w:tcW w:type="dxa" w:w="567"/>
          </w:tcPr>
          <w:p>
            <w:r/>
            <w:r>
              <w:rPr>
                <w:sz w:val="15"/>
              </w:rPr>
              <w:t>2</w:t>
            </w:r>
          </w:p>
        </w:tc>
        <w:tc>
          <w:tcPr>
            <w:tcW w:type="dxa" w:w="1361"/>
          </w:tcPr>
          <w:p>
            <w:r/>
            <w:r>
              <w:rPr>
                <w:sz w:val="15"/>
              </w:rPr>
              <w:t>-0.7 %</w:t>
            </w:r>
          </w:p>
        </w:tc>
        <w:tc>
          <w:tcPr>
            <w:tcW w:type="dxa" w:w="1134"/>
          </w:tcPr>
          <w:p>
            <w:r/>
            <w:r>
              <w:rPr>
                <w:sz w:val="15"/>
              </w:rPr>
              <w:t>50 %</w:t>
            </w:r>
          </w:p>
        </w:tc>
        <w:tc>
          <w:tcPr>
            <w:tcW w:type="dxa" w:w="1361"/>
          </w:tcPr>
          <w:p>
            <w:r/>
            <w:r>
              <w:rPr>
                <w:sz w:val="15"/>
              </w:rPr>
              <w:t>+15.4 %</w:t>
            </w:r>
          </w:p>
        </w:tc>
        <w:tc>
          <w:tcPr>
            <w:tcW w:type="dxa" w:w="3402"/>
          </w:tcPr>
          <w:p>
            <w:r/>
            <w:r>
              <w:rPr>
                <w:sz w:val="15"/>
              </w:rPr>
              <w:t>2008/09 2011/12</w:t>
            </w:r>
          </w:p>
        </w:tc>
      </w:tr>
    </w:tbl>
    <w:p/>
    <w:p>
      <w:r>
        <w:rPr>
          <w:b w:val="0"/>
          <w:i w:val="0"/>
          <w:sz w:val="20"/>
        </w:rPr>
        <w:t>Lecture : pour Vietnam, El Niño est historiquement négatif pour le rendement (-3.2 %) et La Niña positif (+2.3 %). Avec 8 à 15 campagnes par phase, ce sont des tendances centrales, pas des lois : l'intensité de l'épisode, son calage sur la floraison et l'état du verger font l'écart.</w:t>
      </w:r>
    </w:p>
    <w:p>
      <w:r>
        <w:rPr>
          <w:b/>
          <w:i w:val="0"/>
          <w:sz w:val="20"/>
        </w:rPr>
        <w:t>Implication pour l'El Niño en cours (jusqu'à mars 2027) :</w:t>
      </w:r>
    </w:p>
    <w:p>
      <w:r>
        <w:rPr>
          <w:b w:val="0"/>
          <w:i w:val="0"/>
          <w:sz w:val="20"/>
        </w:rPr>
        <w:t>Campagne pilotée : 2027/28. Point de départ (modèle, ON/OFF connu pour le Brésil) : 33 262 ; avec l'effet El Niño moyen (-4.5 %) : 31 778 ; avec l'effet des El Niño forts (-4.4 %) : 31 795 (milliers de sacs).</w:t>
      </w:r>
    </w:p>
    <w:p>
      <w:pPr>
        <w:pStyle w:val="Heading1"/>
      </w:pPr>
      <w:r>
        <w:t>7. Prévision</w:t>
      </w:r>
    </w:p>
    <w:p>
      <w:r>
        <w:rPr>
          <w:b w:val="0"/>
          <w:i w:val="0"/>
          <w:sz w:val="20"/>
        </w:rPr>
        <w:t>Modèle ARMA retenu pour Production Total : ARIMA(0,1,1) + dérive, équation ∇X_t = 922 + ε_t − 0.373·ε_{t-1} ; ∇X_t = X_t − X_{t-1}. Backtest sur les 3 dernières campagnes : erreur moyenne 3.3 % contre 11.2 % pour « pareil que l'an dernier ».</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tcPr>
          <w:p>
            <w:r/>
            <w:r>
              <w:rPr>
                <w:b/>
                <w:sz w:val="17"/>
              </w:rPr>
              <w:t>Campagne</w:t>
            </w:r>
          </w:p>
        </w:tc>
        <w:tc>
          <w:tcPr>
            <w:tcW w:type="dxa" w:w="1701"/>
          </w:tcPr>
          <w:p>
            <w:r/>
            <w:r>
              <w:rPr>
                <w:b/>
                <w:sz w:val="17"/>
              </w:rPr>
              <w:t>Prévision</w:t>
            </w:r>
          </w:p>
        </w:tc>
        <w:tc>
          <w:tcPr>
            <w:tcW w:type="dxa" w:w="2268"/>
          </w:tcPr>
          <w:p>
            <w:r/>
            <w:r>
              <w:rPr>
                <w:b/>
                <w:sz w:val="17"/>
              </w:rPr>
              <w:t>Intervalle 80 %</w:t>
            </w:r>
          </w:p>
        </w:tc>
        <w:tc>
          <w:tcPr>
            <w:tcW w:type="dxa" w:w="2268"/>
          </w:tcPr>
          <w:p>
            <w:r/>
            <w:r>
              <w:rPr>
                <w:b/>
                <w:sz w:val="17"/>
              </w:rPr>
              <w:t>Intervalle 95 %</w:t>
            </w:r>
          </w:p>
        </w:tc>
      </w:tr>
      <w:tr>
        <w:tc>
          <w:tcPr>
            <w:tcW w:type="dxa" w:w="1701"/>
          </w:tcPr>
          <w:p>
            <w:r/>
            <w:r>
              <w:rPr>
                <w:sz w:val="17"/>
              </w:rPr>
              <w:t>2027/28</w:t>
            </w:r>
          </w:p>
        </w:tc>
        <w:tc>
          <w:tcPr>
            <w:tcW w:type="dxa" w:w="1701"/>
          </w:tcPr>
          <w:p>
            <w:r/>
            <w:r>
              <w:rPr>
                <w:sz w:val="17"/>
              </w:rPr>
              <w:t>33 262</w:t>
            </w:r>
          </w:p>
        </w:tc>
        <w:tc>
          <w:tcPr>
            <w:tcW w:type="dxa" w:w="2268"/>
          </w:tcPr>
          <w:p>
            <w:r/>
            <w:r>
              <w:rPr>
                <w:sz w:val="17"/>
              </w:rPr>
              <w:t>29 848 – 36 675</w:t>
            </w:r>
          </w:p>
        </w:tc>
        <w:tc>
          <w:tcPr>
            <w:tcW w:type="dxa" w:w="2268"/>
          </w:tcPr>
          <w:p>
            <w:r/>
            <w:r>
              <w:rPr>
                <w:sz w:val="17"/>
              </w:rPr>
              <w:t>28 041 – 38 482</w:t>
            </w:r>
          </w:p>
        </w:tc>
      </w:tr>
      <w:tr>
        <w:tc>
          <w:tcPr>
            <w:tcW w:type="dxa" w:w="1701"/>
          </w:tcPr>
          <w:p>
            <w:r/>
            <w:r>
              <w:rPr>
                <w:sz w:val="17"/>
              </w:rPr>
              <w:t>2028/29</w:t>
            </w:r>
          </w:p>
        </w:tc>
        <w:tc>
          <w:tcPr>
            <w:tcW w:type="dxa" w:w="1701"/>
          </w:tcPr>
          <w:p>
            <w:r/>
            <w:r>
              <w:rPr>
                <w:sz w:val="17"/>
              </w:rPr>
              <w:t>34 184</w:t>
            </w:r>
          </w:p>
        </w:tc>
        <w:tc>
          <w:tcPr>
            <w:tcW w:type="dxa" w:w="2268"/>
          </w:tcPr>
          <w:p>
            <w:r/>
            <w:r>
              <w:rPr>
                <w:sz w:val="17"/>
              </w:rPr>
              <w:t>30 155 – 38 212</w:t>
            </w:r>
          </w:p>
        </w:tc>
        <w:tc>
          <w:tcPr>
            <w:tcW w:type="dxa" w:w="2268"/>
          </w:tcPr>
          <w:p>
            <w:r/>
            <w:r>
              <w:rPr>
                <w:sz w:val="17"/>
              </w:rPr>
              <w:t>28 023 – 40 344</w:t>
            </w:r>
          </w:p>
        </w:tc>
      </w:tr>
      <w:tr>
        <w:tc>
          <w:tcPr>
            <w:tcW w:type="dxa" w:w="1701"/>
          </w:tcPr>
          <w:p>
            <w:r/>
            <w:r>
              <w:rPr>
                <w:sz w:val="17"/>
              </w:rPr>
              <w:t>2029/30</w:t>
            </w:r>
          </w:p>
        </w:tc>
        <w:tc>
          <w:tcPr>
            <w:tcW w:type="dxa" w:w="1701"/>
          </w:tcPr>
          <w:p>
            <w:r/>
            <w:r>
              <w:rPr>
                <w:sz w:val="17"/>
              </w:rPr>
              <w:t>35 106</w:t>
            </w:r>
          </w:p>
        </w:tc>
        <w:tc>
          <w:tcPr>
            <w:tcW w:type="dxa" w:w="2268"/>
          </w:tcPr>
          <w:p>
            <w:r/>
            <w:r>
              <w:rPr>
                <w:sz w:val="17"/>
              </w:rPr>
              <w:t>30 545 – 39 666</w:t>
            </w:r>
          </w:p>
        </w:tc>
        <w:tc>
          <w:tcPr>
            <w:tcW w:type="dxa" w:w="2268"/>
          </w:tcPr>
          <w:p>
            <w:r/>
            <w:r>
              <w:rPr>
                <w:sz w:val="17"/>
              </w:rPr>
              <w:t>28 130 – 42 081</w:t>
            </w:r>
          </w:p>
        </w:tc>
      </w:tr>
      <w:tr>
        <w:tc>
          <w:tcPr>
            <w:tcW w:type="dxa" w:w="1701"/>
          </w:tcPr>
          <w:p>
            <w:r/>
            <w:r>
              <w:rPr>
                <w:sz w:val="17"/>
              </w:rPr>
              <w:t>2030/31</w:t>
            </w:r>
          </w:p>
        </w:tc>
        <w:tc>
          <w:tcPr>
            <w:tcW w:type="dxa" w:w="1701"/>
          </w:tcPr>
          <w:p>
            <w:r/>
            <w:r>
              <w:rPr>
                <w:sz w:val="17"/>
              </w:rPr>
              <w:t>36 028</w:t>
            </w:r>
          </w:p>
        </w:tc>
        <w:tc>
          <w:tcPr>
            <w:tcW w:type="dxa" w:w="2268"/>
          </w:tcPr>
          <w:p>
            <w:r/>
            <w:r>
              <w:rPr>
                <w:sz w:val="17"/>
              </w:rPr>
              <w:t>30 990 – 41 065</w:t>
            </w:r>
          </w:p>
        </w:tc>
        <w:tc>
          <w:tcPr>
            <w:tcW w:type="dxa" w:w="2268"/>
          </w:tcPr>
          <w:p>
            <w:r/>
            <w:r>
              <w:rPr>
                <w:sz w:val="17"/>
              </w:rPr>
              <w:t>28 324 – 43 732</w:t>
            </w:r>
          </w:p>
        </w:tc>
      </w:tr>
      <w:tr>
        <w:tc>
          <w:tcPr>
            <w:tcW w:type="dxa" w:w="1701"/>
          </w:tcPr>
          <w:p>
            <w:r/>
            <w:r>
              <w:rPr>
                <w:sz w:val="17"/>
              </w:rPr>
              <w:t>2031/32</w:t>
            </w:r>
          </w:p>
        </w:tc>
        <w:tc>
          <w:tcPr>
            <w:tcW w:type="dxa" w:w="1701"/>
          </w:tcPr>
          <w:p>
            <w:r/>
            <w:r>
              <w:rPr>
                <w:sz w:val="17"/>
              </w:rPr>
              <w:t>36 950</w:t>
            </w:r>
          </w:p>
        </w:tc>
        <w:tc>
          <w:tcPr>
            <w:tcW w:type="dxa" w:w="2268"/>
          </w:tcPr>
          <w:p>
            <w:r/>
            <w:r>
              <w:rPr>
                <w:sz w:val="17"/>
              </w:rPr>
              <w:t>31 477 – 42 422</w:t>
            </w:r>
          </w:p>
        </w:tc>
        <w:tc>
          <w:tcPr>
            <w:tcW w:type="dxa" w:w="2268"/>
          </w:tcPr>
          <w:p>
            <w:r/>
            <w:r>
              <w:rPr>
                <w:sz w:val="17"/>
              </w:rPr>
              <w:t>28 580 – 45 319</w:t>
            </w:r>
          </w:p>
        </w:tc>
      </w:tr>
    </w:tbl>
    <w:p/>
    <w:p>
      <w:pPr>
        <w:jc w:val="center"/>
      </w:pPr>
      <w:r>
        <w:drawing>
          <wp:inline xmlns:a="http://schemas.openxmlformats.org/drawingml/2006/main" xmlns:pic="http://schemas.openxmlformats.org/drawingml/2006/picture">
            <wp:extent cx="5940000" cy="4097408"/>
            <wp:docPr id="5" name="Picture 5"/>
            <wp:cNvGraphicFramePr>
              <a:graphicFrameLocks noChangeAspect="1"/>
            </wp:cNvGraphicFramePr>
            <a:graphic>
              <a:graphicData uri="http://schemas.openxmlformats.org/drawingml/2006/picture">
                <pic:pic>
                  <pic:nvPicPr>
                    <pic:cNvPr id="0" name="production_total.png"/>
                    <pic:cNvPicPr/>
                  </pic:nvPicPr>
                  <pic:blipFill>
                    <a:blip r:embed="rId13"/>
                    <a:stretch>
                      <a:fillRect/>
                    </a:stretch>
                  </pic:blipFill>
                  <pic:spPr>
                    <a:xfrm>
                      <a:off x="0" y="0"/>
                      <a:ext cx="5940000" cy="4097408"/>
                    </a:xfrm>
                    <a:prstGeom prst="rect"/>
                  </pic:spPr>
                </pic:pic>
              </a:graphicData>
            </a:graphic>
          </wp:inline>
        </w:drawing>
      </w:r>
    </w:p>
    <w:p>
      <w:r>
        <w:rPr>
          <w:b w:val="0"/>
          <w:i/>
          <w:color w:val="52514E"/>
          <w:sz w:val="16"/>
        </w:rPr>
        <w:t>Figure 6. Série, ajustement, prévision, ACF/PACF et résidus.</w:t>
      </w:r>
    </w:p>
    <w:p>
      <w:pPr>
        <w:pStyle w:val="Heading1"/>
      </w:pPr>
      <w:r>
        <w:t>8. Limites et données à ajouter</w:t>
      </w:r>
    </w:p>
    <w:p>
      <w:pPr>
        <w:pStyle w:val="ListBullet"/>
      </w:pPr>
      <w:r>
        <w:rPr>
          <w:sz w:val="18"/>
        </w:rPr>
        <w:t>Séries annuelles de 20 à 30 points : les effets ENSO sont des moyennes sur 8 à 15 campagnes, à présenter comme des ordres de grandeur.</w:t>
      </w:r>
    </w:p>
    <w:p>
      <w:pPr>
        <w:pStyle w:val="ListBullet"/>
      </w:pPr>
      <w:r>
        <w:rPr>
          <w:sz w:val="18"/>
        </w:rPr>
        <w:t>La classification ENSO vient de la liste des épisodes NOAA CPC ; la table ONI ou RONI officielle peut être déposée dans data/oni.csv et remplace automatiquement cette liste.</w:t>
      </w:r>
    </w:p>
    <w:p>
      <w:pPr>
        <w:pStyle w:val="ListBullet"/>
      </w:pPr>
      <w:r>
        <w:rPr>
          <w:sz w:val="18"/>
        </w:rPr>
        <w:t>La météo n'est chiffrée que pour le Brésil (moyennes annuelles par État). Pour toutes les origines, il faut la pluie et la température des fenêtres critiques du calendrier (script NASA POWER build_region_weather.py, à étendre aux autres pays).</w:t>
      </w:r>
    </w:p>
    <w:p>
      <w:pPr>
        <w:pStyle w:val="ListBullet"/>
      </w:pPr>
      <w:r>
        <w:rPr>
          <w:sz w:val="18"/>
        </w:rPr>
        <w:t>Les dernières colonnes de la balance sheet (2025/26, 2026/27) sont des projections USDA ; les modèles les traitent comme observées.</w:t>
      </w:r>
    </w:p>
    <w:p>
      <w:pPr>
        <w:pStyle w:val="ListBullet"/>
      </w:pPr>
      <w:r>
        <w:rPr>
          <w:sz w:val="18"/>
        </w:rPr>
        <w:t>Le stock d'arbres par âge (non-bearing 1 an, 2 ans, bearing 3 ans, 4 ans, 5 ans et plus) existe dans la balance sheet pour le Brésil et la Colombie : c'est la brique suivante du modèle structurel (surface bearing prévisible 3 ans à l'avance).</w:t>
      </w:r>
    </w:p>
    <w:p>
      <w:pPr>
        <w:pStyle w:val="Heading1"/>
      </w:pPr>
      <w:r>
        <w:t>Sources</w:t>
      </w:r>
    </w:p>
    <w:p>
      <w:pPr>
        <w:pStyle w:val="ListBullet"/>
      </w:pPr>
      <w:r>
        <w:rPr>
          <w:sz w:val="18"/>
        </w:rPr>
        <w:t>Balance sheet « Balance Sheet weather MI - Uganda Consolidated.xlsx », onglet Vietnam (USDA PSD, CONAB, Fedecafé, UCDA, BPS selon les lignes).</w:t>
      </w:r>
    </w:p>
    <w:p>
      <w:pPr>
        <w:pStyle w:val="ListBullet"/>
      </w:pPr>
      <w:r>
        <w:rPr>
          <w:sz w:val="18"/>
        </w:rPr>
        <w:t>NOAA Climate Prediction Center, Oceanic Niño Index (liste des épisodes El Niño / La Niña) ; climatologie régionale ENSO : NOAA CPC, IRI, littérature agro-climatique (calendriers USDA FAS).</w:t>
      </w:r>
    </w:p>
    <w:p>
      <w:pPr>
        <w:pStyle w:val="ListBullet"/>
      </w:pPr>
      <w:r>
        <w:rPr>
          <w:sz w:val="18"/>
        </w:rPr>
        <w:t>Modèles : timeseries/arma_models.py, armax_models.py, enso_analysis.py (dépôt procafe, pull request #1).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