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Ouganda : balance sheet café, de la météo au rendement et à la production</w:t>
      </w:r>
    </w:p>
    <w:p>
      <w:r>
        <w:rPr>
          <w:b w:val="0"/>
          <w:i/>
          <w:color w:val="52514E"/>
          <w:sz w:val="18"/>
        </w:rPr>
        <w:t>Au 16 septembre 2026. Source des chiffres : balance sheet (onglet Uganda), USDA. Classification ENSO : NOAA CPC episode list reproduced from memory (peak ONI approximate); drop the CPC table in data/oni.csv to replace it.</w:t>
      </w:r>
    </w:p>
    <w:p>
      <w:r>
        <w:rPr>
          <w:b w:val="0"/>
          <w:i w:val="0"/>
          <w:sz w:val="18"/>
        </w:rPr>
        <w:t>Surface bearing, non-bearing et rendement par ha récolté n'existent que depuis 2019/20 ; « output per planted ha » sert de rendement sur 2008-2026.</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2019/20 et 2025/26, la production est passée de 5 475 à 7 095 (+4.4 % par an) : surface bearing +1.5 % par an, rendement +2.8 % par an. Le rendement fait la croissance.</w:t>
      </w:r>
    </w:p>
    <w:p>
      <w:pPr>
        <w:pStyle w:val="ListBullet"/>
      </w:pPr>
      <w:r>
        <w:rPr>
          <w:sz w:val="20"/>
        </w:rPr>
        <w:t>El Niño : rendement en moyenne -3.5 % par rapport aux campagnes voisines sur 5 campagnes (80 % d'entre elles sous la moyenne) ; El Niño fort : -7.7 % (3 campagnes, 100 % sous la moyenne). La Niña : +3.0 % (7 campagnes).</w:t>
      </w:r>
    </w:p>
    <w:p>
      <w:pPr>
        <w:pStyle w:val="ListBullet"/>
      </w:pPr>
      <w:r>
        <w:rPr>
          <w:sz w:val="20"/>
        </w:rPr>
        <w:t>L'El Niño en cours pilote donc la campagne 2026/27.</w:t>
      </w:r>
    </w:p>
    <w:p>
      <w:pPr>
        <w:pStyle w:val="ListBullet"/>
      </w:pPr>
      <w:r>
        <w:rPr>
          <w:sz w:val="20"/>
        </w:rPr>
        <w:t>Prévision Production Total 2027/28 : 7 160 (intervalle 80 % 6 504 – 7 816) par le modèle ARMA ; avec l'effet El Niño historique moyen (-7.6 %) : 6 614.</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80842"/>
            <wp:docPr id="1" name="Picture 1"/>
            <wp:cNvGraphicFramePr>
              <a:graphicFrameLocks noChangeAspect="1"/>
            </wp:cNvGraphicFramePr>
            <a:graphic>
              <a:graphicData uri="http://schemas.openxmlformats.org/drawingml/2006/picture">
                <pic:pic>
                  <pic:nvPicPr>
                    <pic:cNvPr id="0" name="uganda_chain.png"/>
                    <pic:cNvPicPr/>
                  </pic:nvPicPr>
                  <pic:blipFill>
                    <a:blip r:embed="rId9"/>
                    <a:stretch>
                      <a:fillRect/>
                    </a:stretch>
                  </pic:blipFill>
                  <pic:spPr>
                    <a:xfrm>
                      <a:off x="0" y="0"/>
                      <a:ext cx="5760000" cy="2780842"/>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80-85 %, bassin du lac Victoria, Centre, Ouest, Busoga) et arabica (≈ 15-20 %, Mont Elgon / Bugisu, Rwenzori, West Nile). Campagne USDA : octobre-septembre. Régions : robusta : Central (Masaka, Mukono, Luwero), Busoga, Ankole, Bunyoro ; arabica : Bugisu, Sebei (Mt Elgon), Kigezi, Rwenzori, West Nile.</w:t>
      </w:r>
    </w:p>
    <w:p>
      <w:pPr>
        <w:jc w:val="center"/>
      </w:pPr>
      <w:r>
        <w:drawing>
          <wp:inline xmlns:a="http://schemas.openxmlformats.org/drawingml/2006/main" xmlns:pic="http://schemas.openxmlformats.org/drawingml/2006/picture">
            <wp:extent cx="5760000" cy="2034445"/>
            <wp:docPr id="2" name="Picture 2"/>
            <wp:cNvGraphicFramePr>
              <a:graphicFrameLocks noChangeAspect="1"/>
            </wp:cNvGraphicFramePr>
            <a:graphic>
              <a:graphicData uri="http://schemas.openxmlformats.org/drawingml/2006/picture">
                <pic:pic>
                  <pic:nvPicPr>
                    <pic:cNvPr id="0" name="uganda_calendar.png"/>
                    <pic:cNvPicPr/>
                  </pic:nvPicPr>
                  <pic:blipFill>
                    <a:blip r:embed="rId10"/>
                    <a:stretch>
                      <a:fillRect/>
                    </a:stretch>
                  </pic:blipFill>
                  <pic:spPr>
                    <a:xfrm>
                      <a:off x="0" y="0"/>
                      <a:ext cx="5760000" cy="2034445"/>
                    </a:xfrm>
                    <a:prstGeom prst="rect"/>
                  </pic:spPr>
                </pic:pic>
              </a:graphicData>
            </a:graphic>
          </wp:inline>
        </w:drawing>
      </w:r>
    </w:p>
    <w:p>
      <w:r>
        <w:rPr>
          <w:b w:val="0"/>
          <w:i/>
          <w:color w:val="52514E"/>
          <w:sz w:val="16"/>
        </w:rPr>
        <w:t>Figure 2. Phases de la culture par mois (année civile).</w:t>
      </w:r>
    </w:p>
    <w:p>
      <w:r>
        <w:rPr>
          <w:b w:val="0"/>
          <w:i w:val="0"/>
          <w:sz w:val="20"/>
        </w:rPr>
        <w:t>La campagne Y/Y+1 (récolte principale nov. Y - févr. Y+1) dépend des pluies de mars-mai et de sept.-nov. de l'année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4 650</w:t>
            </w:r>
          </w:p>
        </w:tc>
        <w:tc>
          <w:tcPr>
            <w:tcW w:type="dxa" w:w="997"/>
          </w:tcPr>
          <w:p>
            <w:r/>
            <w:r>
              <w:rPr>
                <w:sz w:val="15"/>
              </w:rPr>
              <w:t>5 475</w:t>
            </w:r>
          </w:p>
        </w:tc>
        <w:tc>
          <w:tcPr>
            <w:tcW w:type="dxa" w:w="997"/>
          </w:tcPr>
          <w:p>
            <w:r/>
            <w:r>
              <w:rPr>
                <w:sz w:val="15"/>
              </w:rPr>
              <w:t>6 630</w:t>
            </w:r>
          </w:p>
        </w:tc>
        <w:tc>
          <w:tcPr>
            <w:tcW w:type="dxa" w:w="997"/>
          </w:tcPr>
          <w:p>
            <w:r/>
            <w:r>
              <w:rPr>
                <w:sz w:val="15"/>
              </w:rPr>
              <w:t>6 050</w:t>
            </w:r>
          </w:p>
        </w:tc>
        <w:tc>
          <w:tcPr>
            <w:tcW w:type="dxa" w:w="997"/>
          </w:tcPr>
          <w:p>
            <w:r/>
            <w:r>
              <w:rPr>
                <w:sz w:val="15"/>
              </w:rPr>
              <w:t>6 565</w:t>
            </w:r>
          </w:p>
        </w:tc>
        <w:tc>
          <w:tcPr>
            <w:tcW w:type="dxa" w:w="997"/>
          </w:tcPr>
          <w:p>
            <w:r/>
            <w:r>
              <w:rPr>
                <w:sz w:val="15"/>
              </w:rPr>
              <w:t>6 400</w:t>
            </w:r>
          </w:p>
        </w:tc>
        <w:tc>
          <w:tcPr>
            <w:tcW w:type="dxa" w:w="997"/>
          </w:tcPr>
          <w:p>
            <w:r/>
            <w:r>
              <w:rPr>
                <w:sz w:val="15"/>
              </w:rPr>
              <w:t>6 700</w:t>
            </w:r>
          </w:p>
        </w:tc>
        <w:tc>
          <w:tcPr>
            <w:tcW w:type="dxa" w:w="997"/>
          </w:tcPr>
          <w:p>
            <w:r/>
            <w:r>
              <w:rPr>
                <w:sz w:val="15"/>
              </w:rPr>
              <w:t>7 095</w:t>
            </w:r>
          </w:p>
        </w:tc>
        <w:tc>
          <w:tcPr>
            <w:tcW w:type="dxa" w:w="997"/>
          </w:tcPr>
          <w:p>
            <w:r/>
            <w:r>
              <w:rPr>
                <w:sz w:val="15"/>
              </w:rPr>
              <w:t>7 160</w:t>
            </w:r>
          </w:p>
        </w:tc>
      </w:tr>
      <w:tr>
        <w:tc>
          <w:tcPr>
            <w:tcW w:type="dxa" w:w="997"/>
          </w:tcPr>
          <w:p>
            <w:r/>
            <w:r>
              <w:rPr>
                <w:sz w:val="15"/>
              </w:rPr>
              <w:t>Arabica (1000 60-kg bags)</w:t>
            </w:r>
          </w:p>
        </w:tc>
        <w:tc>
          <w:tcPr>
            <w:tcW w:type="dxa" w:w="997"/>
          </w:tcPr>
          <w:p>
            <w:r/>
            <w:r>
              <w:rPr>
                <w:sz w:val="15"/>
              </w:rPr>
              <w:t>1 050</w:t>
            </w:r>
          </w:p>
        </w:tc>
        <w:tc>
          <w:tcPr>
            <w:tcW w:type="dxa" w:w="997"/>
          </w:tcPr>
          <w:p>
            <w:r/>
            <w:r>
              <w:rPr>
                <w:sz w:val="15"/>
              </w:rPr>
              <w:t>1 025</w:t>
            </w:r>
          </w:p>
        </w:tc>
        <w:tc>
          <w:tcPr>
            <w:tcW w:type="dxa" w:w="997"/>
          </w:tcPr>
          <w:p>
            <w:r/>
            <w:r>
              <w:rPr>
                <w:sz w:val="15"/>
              </w:rPr>
              <w:t>730</w:t>
            </w:r>
          </w:p>
        </w:tc>
        <w:tc>
          <w:tcPr>
            <w:tcW w:type="dxa" w:w="997"/>
          </w:tcPr>
          <w:p>
            <w:r/>
            <w:r>
              <w:rPr>
                <w:sz w:val="15"/>
              </w:rPr>
              <w:t>990</w:t>
            </w:r>
          </w:p>
        </w:tc>
        <w:tc>
          <w:tcPr>
            <w:tcW w:type="dxa" w:w="997"/>
          </w:tcPr>
          <w:p>
            <w:r/>
            <w:r>
              <w:rPr>
                <w:sz w:val="15"/>
              </w:rPr>
              <w:t>990</w:t>
            </w:r>
          </w:p>
        </w:tc>
        <w:tc>
          <w:tcPr>
            <w:tcW w:type="dxa" w:w="997"/>
          </w:tcPr>
          <w:p>
            <w:r/>
            <w:r>
              <w:rPr>
                <w:sz w:val="15"/>
              </w:rPr>
              <w:t>1 000</w:t>
            </w:r>
          </w:p>
        </w:tc>
        <w:tc>
          <w:tcPr>
            <w:tcW w:type="dxa" w:w="997"/>
          </w:tcPr>
          <w:p>
            <w:r/>
            <w:r>
              <w:rPr>
                <w:sz w:val="15"/>
              </w:rPr>
              <w:t>1 030</w:t>
            </w:r>
          </w:p>
        </w:tc>
        <w:tc>
          <w:tcPr>
            <w:tcW w:type="dxa" w:w="997"/>
          </w:tcPr>
          <w:p>
            <w:r/>
            <w:r>
              <w:rPr>
                <w:sz w:val="15"/>
              </w:rPr>
              <w:t>1 120</w:t>
            </w:r>
          </w:p>
        </w:tc>
        <w:tc>
          <w:tcPr>
            <w:tcW w:type="dxa" w:w="997"/>
          </w:tcPr>
          <w:p>
            <w:r/>
            <w:r>
              <w:rPr>
                <w:sz w:val="15"/>
              </w:rPr>
              <w:t>1 135</w:t>
            </w:r>
          </w:p>
        </w:tc>
      </w:tr>
      <w:tr>
        <w:tc>
          <w:tcPr>
            <w:tcW w:type="dxa" w:w="997"/>
          </w:tcPr>
          <w:p>
            <w:r/>
            <w:r>
              <w:rPr>
                <w:sz w:val="15"/>
              </w:rPr>
              <w:t>Robusta (1000 60-kg bags)</w:t>
            </w:r>
          </w:p>
        </w:tc>
        <w:tc>
          <w:tcPr>
            <w:tcW w:type="dxa" w:w="997"/>
          </w:tcPr>
          <w:p>
            <w:r/>
            <w:r>
              <w:rPr>
                <w:sz w:val="15"/>
              </w:rPr>
              <w:t>3 600</w:t>
            </w:r>
          </w:p>
        </w:tc>
        <w:tc>
          <w:tcPr>
            <w:tcW w:type="dxa" w:w="997"/>
          </w:tcPr>
          <w:p>
            <w:r/>
            <w:r>
              <w:rPr>
                <w:sz w:val="15"/>
              </w:rPr>
              <w:t>4 450</w:t>
            </w:r>
          </w:p>
        </w:tc>
        <w:tc>
          <w:tcPr>
            <w:tcW w:type="dxa" w:w="997"/>
          </w:tcPr>
          <w:p>
            <w:r/>
            <w:r>
              <w:rPr>
                <w:sz w:val="15"/>
              </w:rPr>
              <w:t>5 900</w:t>
            </w:r>
          </w:p>
        </w:tc>
        <w:tc>
          <w:tcPr>
            <w:tcW w:type="dxa" w:w="997"/>
          </w:tcPr>
          <w:p>
            <w:r/>
            <w:r>
              <w:rPr>
                <w:sz w:val="15"/>
              </w:rPr>
              <w:t>5 060</w:t>
            </w:r>
          </w:p>
        </w:tc>
        <w:tc>
          <w:tcPr>
            <w:tcW w:type="dxa" w:w="997"/>
          </w:tcPr>
          <w:p>
            <w:r/>
            <w:r>
              <w:rPr>
                <w:sz w:val="15"/>
              </w:rPr>
              <w:t>5 575</w:t>
            </w:r>
          </w:p>
        </w:tc>
        <w:tc>
          <w:tcPr>
            <w:tcW w:type="dxa" w:w="997"/>
          </w:tcPr>
          <w:p>
            <w:r/>
            <w:r>
              <w:rPr>
                <w:sz w:val="15"/>
              </w:rPr>
              <w:t>5 400</w:t>
            </w:r>
          </w:p>
        </w:tc>
        <w:tc>
          <w:tcPr>
            <w:tcW w:type="dxa" w:w="997"/>
          </w:tcPr>
          <w:p>
            <w:r/>
            <w:r>
              <w:rPr>
                <w:sz w:val="15"/>
              </w:rPr>
              <w:t>5 670</w:t>
            </w:r>
          </w:p>
        </w:tc>
        <w:tc>
          <w:tcPr>
            <w:tcW w:type="dxa" w:w="997"/>
          </w:tcPr>
          <w:p>
            <w:r/>
            <w:r>
              <w:rPr>
                <w:sz w:val="15"/>
              </w:rPr>
              <w:t>5 975</w:t>
            </w:r>
          </w:p>
        </w:tc>
        <w:tc>
          <w:tcPr>
            <w:tcW w:type="dxa" w:w="997"/>
          </w:tcPr>
          <w:p>
            <w:r/>
            <w:r>
              <w:rPr>
                <w:sz w:val="15"/>
              </w:rPr>
              <w:t>6 025</w:t>
            </w:r>
          </w:p>
        </w:tc>
      </w:tr>
      <w:tr>
        <w:tc>
          <w:tcPr>
            <w:tcW w:type="dxa" w:w="997"/>
          </w:tcPr>
          <w:p>
            <w:r/>
            <w:r>
              <w:rPr>
                <w:sz w:val="15"/>
              </w:rPr>
              <w:t>Surface totale (1000 ha)</w:t>
            </w:r>
          </w:p>
        </w:tc>
        <w:tc>
          <w:tcPr>
            <w:tcW w:type="dxa" w:w="997"/>
          </w:tcPr>
          <w:p>
            <w:r/>
            <w:r>
              <w:rPr>
                <w:sz w:val="15"/>
              </w:rPr>
              <w:t>355</w:t>
            </w:r>
          </w:p>
        </w:tc>
        <w:tc>
          <w:tcPr>
            <w:tcW w:type="dxa" w:w="997"/>
          </w:tcPr>
          <w:p>
            <w:r/>
            <w:r>
              <w:rPr>
                <w:sz w:val="15"/>
              </w:rPr>
              <w:t>560</w:t>
            </w:r>
          </w:p>
        </w:tc>
        <w:tc>
          <w:tcPr>
            <w:tcW w:type="dxa" w:w="997"/>
          </w:tcPr>
          <w:p>
            <w:r/>
            <w:r>
              <w:rPr>
                <w:sz w:val="15"/>
              </w:rPr>
              <w:t>560</w:t>
            </w:r>
          </w:p>
        </w:tc>
        <w:tc>
          <w:tcPr>
            <w:tcW w:type="dxa" w:w="997"/>
          </w:tcPr>
          <w:p>
            <w:r/>
            <w:r>
              <w:rPr>
                <w:sz w:val="15"/>
              </w:rPr>
              <w:t>560</w:t>
            </w:r>
          </w:p>
        </w:tc>
        <w:tc>
          <w:tcPr>
            <w:tcW w:type="dxa" w:w="997"/>
          </w:tcPr>
          <w:p>
            <w:r/>
            <w:r>
              <w:rPr>
                <w:sz w:val="15"/>
              </w:rPr>
              <w:t>565</w:t>
            </w:r>
          </w:p>
        </w:tc>
        <w:tc>
          <w:tcPr>
            <w:tcW w:type="dxa" w:w="997"/>
          </w:tcPr>
          <w:p>
            <w:r/>
            <w:r>
              <w:rPr>
                <w:sz w:val="15"/>
              </w:rPr>
              <w:t>580</w:t>
            </w:r>
          </w:p>
        </w:tc>
        <w:tc>
          <w:tcPr>
            <w:tcW w:type="dxa" w:w="997"/>
          </w:tcPr>
          <w:p>
            <w:r/>
            <w:r>
              <w:rPr>
                <w:sz w:val="15"/>
              </w:rPr>
              <w:t>580</w:t>
            </w:r>
          </w:p>
        </w:tc>
        <w:tc>
          <w:tcPr>
            <w:tcW w:type="dxa" w:w="997"/>
          </w:tcPr>
          <w:p>
            <w:r/>
            <w:r>
              <w:rPr>
                <w:sz w:val="15"/>
              </w:rPr>
              <w:t>590</w:t>
            </w:r>
          </w:p>
        </w:tc>
        <w:tc>
          <w:tcPr>
            <w:tcW w:type="dxa" w:w="997"/>
          </w:tcPr>
          <w:p>
            <w:r/>
            <w:r>
              <w:rPr>
                <w:sz w:val="15"/>
              </w:rPr>
              <w:t>595</w:t>
            </w:r>
          </w:p>
        </w:tc>
      </w:tr>
      <w:tr>
        <w:tc>
          <w:tcPr>
            <w:tcW w:type="dxa" w:w="997"/>
          </w:tcPr>
          <w:p>
            <w:r/>
            <w:r>
              <w:rPr>
                <w:sz w:val="15"/>
              </w:rPr>
              <w:t>Surface bearing (1000 ha)</w:t>
            </w:r>
          </w:p>
        </w:tc>
        <w:tc>
          <w:tcPr>
            <w:tcW w:type="dxa" w:w="997"/>
          </w:tcPr>
          <w:p>
            <w:r/>
            <w:r>
              <w:rPr>
                <w:sz w:val="15"/>
              </w:rPr>
              <w:t>–</w:t>
            </w:r>
          </w:p>
        </w:tc>
        <w:tc>
          <w:tcPr>
            <w:tcW w:type="dxa" w:w="997"/>
          </w:tcPr>
          <w:p>
            <w:r/>
            <w:r>
              <w:rPr>
                <w:sz w:val="15"/>
              </w:rPr>
              <w:t>525</w:t>
            </w:r>
          </w:p>
        </w:tc>
        <w:tc>
          <w:tcPr>
            <w:tcW w:type="dxa" w:w="997"/>
          </w:tcPr>
          <w:p>
            <w:r/>
            <w:r>
              <w:rPr>
                <w:sz w:val="15"/>
              </w:rPr>
              <w:t>545</w:t>
            </w:r>
          </w:p>
        </w:tc>
        <w:tc>
          <w:tcPr>
            <w:tcW w:type="dxa" w:w="997"/>
          </w:tcPr>
          <w:p>
            <w:r/>
            <w:r>
              <w:rPr>
                <w:sz w:val="15"/>
              </w:rPr>
              <w:t>550</w:t>
            </w:r>
          </w:p>
        </w:tc>
        <w:tc>
          <w:tcPr>
            <w:tcW w:type="dxa" w:w="997"/>
          </w:tcPr>
          <w:p>
            <w:r/>
            <w:r>
              <w:rPr>
                <w:sz w:val="15"/>
              </w:rPr>
              <w:t>560</w:t>
            </w:r>
          </w:p>
        </w:tc>
        <w:tc>
          <w:tcPr>
            <w:tcW w:type="dxa" w:w="997"/>
          </w:tcPr>
          <w:p>
            <w:r/>
            <w:r>
              <w:rPr>
                <w:sz w:val="15"/>
              </w:rPr>
              <w:t>570</w:t>
            </w:r>
          </w:p>
        </w:tc>
        <w:tc>
          <w:tcPr>
            <w:tcW w:type="dxa" w:w="997"/>
          </w:tcPr>
          <w:p>
            <w:r/>
            <w:r>
              <w:rPr>
                <w:sz w:val="15"/>
              </w:rPr>
              <w:t>570</w:t>
            </w:r>
          </w:p>
        </w:tc>
        <w:tc>
          <w:tcPr>
            <w:tcW w:type="dxa" w:w="997"/>
          </w:tcPr>
          <w:p>
            <w:r/>
            <w:r>
              <w:rPr>
                <w:sz w:val="15"/>
              </w:rPr>
              <w:t>575</w:t>
            </w:r>
          </w:p>
        </w:tc>
        <w:tc>
          <w:tcPr>
            <w:tcW w:type="dxa" w:w="997"/>
          </w:tcPr>
          <w:p>
            <w:r/>
            <w:r>
              <w:rPr>
                <w:sz w:val="15"/>
              </w:rPr>
              <w:t>580</w:t>
            </w:r>
          </w:p>
        </w:tc>
      </w:tr>
      <w:tr>
        <w:tc>
          <w:tcPr>
            <w:tcW w:type="dxa" w:w="997"/>
          </w:tcPr>
          <w:p>
            <w:r/>
            <w:r>
              <w:rPr>
                <w:sz w:val="15"/>
              </w:rPr>
              <w:t>Surface non-bearing (1000 ha)</w:t>
            </w:r>
          </w:p>
        </w:tc>
        <w:tc>
          <w:tcPr>
            <w:tcW w:type="dxa" w:w="997"/>
          </w:tcPr>
          <w:p>
            <w:r/>
            <w:r>
              <w:rPr>
                <w:sz w:val="15"/>
              </w:rPr>
              <w:t>–</w:t>
            </w:r>
          </w:p>
        </w:tc>
        <w:tc>
          <w:tcPr>
            <w:tcW w:type="dxa" w:w="997"/>
          </w:tcPr>
          <w:p>
            <w:r/>
            <w:r>
              <w:rPr>
                <w:sz w:val="15"/>
              </w:rPr>
              <w:t>35.0</w:t>
            </w:r>
          </w:p>
        </w:tc>
        <w:tc>
          <w:tcPr>
            <w:tcW w:type="dxa" w:w="997"/>
          </w:tcPr>
          <w:p>
            <w:r/>
            <w:r>
              <w:rPr>
                <w:sz w:val="15"/>
              </w:rPr>
              <w:t>15.0</w:t>
            </w:r>
          </w:p>
        </w:tc>
        <w:tc>
          <w:tcPr>
            <w:tcW w:type="dxa" w:w="997"/>
          </w:tcPr>
          <w:p>
            <w:r/>
            <w:r>
              <w:rPr>
                <w:sz w:val="15"/>
              </w:rPr>
              <w:t>10.0</w:t>
            </w:r>
          </w:p>
        </w:tc>
        <w:tc>
          <w:tcPr>
            <w:tcW w:type="dxa" w:w="997"/>
          </w:tcPr>
          <w:p>
            <w:r/>
            <w:r>
              <w:rPr>
                <w:sz w:val="15"/>
              </w:rPr>
              <w:t>5.00</w:t>
            </w:r>
          </w:p>
        </w:tc>
        <w:tc>
          <w:tcPr>
            <w:tcW w:type="dxa" w:w="997"/>
          </w:tcPr>
          <w:p>
            <w:r/>
            <w:r>
              <w:rPr>
                <w:sz w:val="15"/>
              </w:rPr>
              <w:t>10.0</w:t>
            </w:r>
          </w:p>
        </w:tc>
        <w:tc>
          <w:tcPr>
            <w:tcW w:type="dxa" w:w="997"/>
          </w:tcPr>
          <w:p>
            <w:r/>
            <w:r>
              <w:rPr>
                <w:sz w:val="15"/>
              </w:rPr>
              <w:t>10.0</w:t>
            </w:r>
          </w:p>
        </w:tc>
        <w:tc>
          <w:tcPr>
            <w:tcW w:type="dxa" w:w="997"/>
          </w:tcPr>
          <w:p>
            <w:r/>
            <w:r>
              <w:rPr>
                <w:sz w:val="15"/>
              </w:rPr>
              <w:t>15.0</w:t>
            </w:r>
          </w:p>
        </w:tc>
        <w:tc>
          <w:tcPr>
            <w:tcW w:type="dxa" w:w="997"/>
          </w:tcPr>
          <w:p>
            <w:r/>
            <w:r>
              <w:rPr>
                <w:sz w:val="15"/>
              </w:rPr>
              <w:t>15.0</w:t>
            </w:r>
          </w:p>
        </w:tc>
      </w:tr>
      <w:tr>
        <w:tc>
          <w:tcPr>
            <w:tcW w:type="dxa" w:w="997"/>
          </w:tcPr>
          <w:p>
            <w:r/>
            <w:r>
              <w:rPr>
                <w:sz w:val="15"/>
              </w:rPr>
              <w:t>Rendement (bags/ha)</w:t>
            </w:r>
          </w:p>
        </w:tc>
        <w:tc>
          <w:tcPr>
            <w:tcW w:type="dxa" w:w="997"/>
          </w:tcPr>
          <w:p>
            <w:r/>
            <w:r>
              <w:rPr>
                <w:sz w:val="15"/>
              </w:rPr>
              <w:t>13.1</w:t>
            </w:r>
          </w:p>
        </w:tc>
        <w:tc>
          <w:tcPr>
            <w:tcW w:type="dxa" w:w="997"/>
          </w:tcPr>
          <w:p>
            <w:r/>
            <w:r>
              <w:rPr>
                <w:sz w:val="15"/>
              </w:rPr>
              <w:t>9.78</w:t>
            </w:r>
          </w:p>
        </w:tc>
        <w:tc>
          <w:tcPr>
            <w:tcW w:type="dxa" w:w="997"/>
          </w:tcPr>
          <w:p>
            <w:r/>
            <w:r>
              <w:rPr>
                <w:sz w:val="15"/>
              </w:rPr>
              <w:t>11.8</w:t>
            </w:r>
          </w:p>
        </w:tc>
        <w:tc>
          <w:tcPr>
            <w:tcW w:type="dxa" w:w="997"/>
          </w:tcPr>
          <w:p>
            <w:r/>
            <w:r>
              <w:rPr>
                <w:sz w:val="15"/>
              </w:rPr>
              <w:t>10.8</w:t>
            </w:r>
          </w:p>
        </w:tc>
        <w:tc>
          <w:tcPr>
            <w:tcW w:type="dxa" w:w="997"/>
          </w:tcPr>
          <w:p>
            <w:r/>
            <w:r>
              <w:rPr>
                <w:sz w:val="15"/>
              </w:rPr>
              <w:t>11.6</w:t>
            </w:r>
          </w:p>
        </w:tc>
        <w:tc>
          <w:tcPr>
            <w:tcW w:type="dxa" w:w="997"/>
          </w:tcPr>
          <w:p>
            <w:r/>
            <w:r>
              <w:rPr>
                <w:sz w:val="15"/>
              </w:rPr>
              <w:t>11.0</w:t>
            </w:r>
          </w:p>
        </w:tc>
        <w:tc>
          <w:tcPr>
            <w:tcW w:type="dxa" w:w="997"/>
          </w:tcPr>
          <w:p>
            <w:r/>
            <w:r>
              <w:rPr>
                <w:sz w:val="15"/>
              </w:rPr>
              <w:t>11.6</w:t>
            </w:r>
          </w:p>
        </w:tc>
        <w:tc>
          <w:tcPr>
            <w:tcW w:type="dxa" w:w="997"/>
          </w:tcPr>
          <w:p>
            <w:r/>
            <w:r>
              <w:rPr>
                <w:sz w:val="15"/>
              </w:rPr>
              <w:t>12.0</w:t>
            </w:r>
          </w:p>
        </w:tc>
        <w:tc>
          <w:tcPr>
            <w:tcW w:type="dxa" w:w="997"/>
          </w:tcPr>
          <w:p>
            <w:r/>
            <w:r>
              <w:rPr>
                <w:sz w:val="15"/>
              </w:rPr>
              <w:t>12.0</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uganda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2019/20 → 2025/26 : production +4.4 %/an = surface bearing +1.5 %/an + rendement +2.8 %/an (rendement implicite 10.4 → 12.3 sacs par ha bearing).</w:t>
      </w:r>
    </w:p>
    <w:p>
      <w:pPr>
        <w:pStyle w:val="Heading1"/>
      </w:pPr>
      <w:r>
        <w:t>5. Les déterminants du rendement, quantifiés</w:t>
      </w:r>
    </w:p>
    <w:p>
      <w:r>
        <w:rPr>
          <w:b w:val="0"/>
          <w:i w:val="0"/>
          <w:sz w:val="20"/>
        </w:rPr>
        <w:t>Tendance : le modèle ARMA(0,0) du rendement s'écrit X_t = 11.5 + ε_t. Pas de tendance déterministe retenue : le rendement évolue par chocs persistants.</w:t>
      </w:r>
    </w:p>
    <w:p>
      <w:r>
        <w:rPr>
          <w:b/>
          <w:i w:val="0"/>
          <w:sz w:val="20"/>
        </w:rPr>
        <w:t>Les plus grands écarts de rendement (Output per planted ha)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-19.8 %</w:t>
            </w:r>
          </w:p>
        </w:tc>
        <w:tc>
          <w:tcPr>
            <w:tcW w:type="dxa" w:w="1247"/>
          </w:tcPr>
          <w:p>
            <w:r/>
            <w:r>
              <w:rPr>
                <w:sz w:val="16"/>
              </w:rPr>
              <w:t>-25.4 %</w:t>
            </w:r>
          </w:p>
        </w:tc>
        <w:tc>
          <w:tcPr>
            <w:tcW w:type="dxa" w:w="1814"/>
          </w:tcPr>
          <w:p>
            <w:r/>
            <w:r>
              <w:rPr>
                <w:sz w:val="16"/>
              </w:rPr>
              <w:t>neutre (+0.5)</w:t>
            </w:r>
          </w:p>
        </w:tc>
        <w:tc>
          <w:tcPr>
            <w:tcW w:type="dxa" w:w="4195"/>
          </w:tcPr>
          <w:p>
            <w:r/>
            <w:r>
              <w:rPr>
                <w:sz w:val="16"/>
              </w:rPr>
            </w:r>
          </w:p>
        </w:tc>
      </w:tr>
      <w:tr>
        <w:tc>
          <w:tcPr>
            <w:tcW w:type="dxa" w:w="1134"/>
          </w:tcPr>
          <w:p>
            <w:r/>
            <w:r>
              <w:rPr>
                <w:sz w:val="16"/>
              </w:rPr>
              <w:t>2015/16</w:t>
            </w:r>
          </w:p>
        </w:tc>
        <w:tc>
          <w:tcPr>
            <w:tcW w:type="dxa" w:w="1247"/>
          </w:tcPr>
          <w:p>
            <w:r/>
            <w:r>
              <w:rPr>
                <w:sz w:val="16"/>
              </w:rPr>
              <w:t>-14.3 %</w:t>
            </w:r>
          </w:p>
        </w:tc>
        <w:tc>
          <w:tcPr>
            <w:tcW w:type="dxa" w:w="1247"/>
          </w:tcPr>
          <w:p>
            <w:r/>
            <w:r>
              <w:rPr>
                <w:sz w:val="16"/>
              </w:rPr>
              <w:t>+1.1 %</w:t>
            </w:r>
          </w:p>
        </w:tc>
        <w:tc>
          <w:tcPr>
            <w:tcW w:type="dxa" w:w="1814"/>
          </w:tcPr>
          <w:p>
            <w:r/>
            <w:r>
              <w:rPr>
                <w:sz w:val="16"/>
              </w:rPr>
              <w:t>El Niño (+2.6)</w:t>
            </w:r>
          </w:p>
        </w:tc>
        <w:tc>
          <w:tcPr>
            <w:tcW w:type="dxa" w:w="4195"/>
          </w:tcPr>
          <w:p>
            <w:r/>
            <w:r>
              <w:rPr>
                <w:sz w:val="16"/>
              </w:rPr>
              <w:t>El Niño très fort, pluies excessives à la récolte 2015/16 : 3,5 M sacs, sous la tendance</w:t>
            </w:r>
          </w:p>
        </w:tc>
      </w:tr>
      <w:tr>
        <w:tc>
          <w:tcPr>
            <w:tcW w:type="dxa" w:w="1134"/>
          </w:tcPr>
          <w:p>
            <w:r/>
            <w:r>
              <w:rPr>
                <w:sz w:val="16"/>
              </w:rPr>
              <w:t>2014/15</w:t>
            </w:r>
          </w:p>
        </w:tc>
        <w:tc>
          <w:tcPr>
            <w:tcW w:type="dxa" w:w="1247"/>
          </w:tcPr>
          <w:p>
            <w:r/>
            <w:r>
              <w:rPr>
                <w:sz w:val="16"/>
              </w:rPr>
              <w:t>-11.8 %</w:t>
            </w:r>
          </w:p>
        </w:tc>
        <w:tc>
          <w:tcPr>
            <w:tcW w:type="dxa" w:w="1247"/>
          </w:tcPr>
          <w:p>
            <w:r/>
            <w:r>
              <w:rPr>
                <w:sz w:val="16"/>
              </w:rPr>
              <w:t>-9.3 %</w:t>
            </w:r>
          </w:p>
        </w:tc>
        <w:tc>
          <w:tcPr>
            <w:tcW w:type="dxa" w:w="1814"/>
          </w:tcPr>
          <w:p>
            <w:r/>
            <w:r>
              <w:rPr>
                <w:sz w:val="16"/>
              </w:rPr>
              <w:t>El Niño (+0.7)</w:t>
            </w:r>
          </w:p>
        </w:tc>
        <w:tc>
          <w:tcPr>
            <w:tcW w:type="dxa" w:w="4195"/>
          </w:tcPr>
          <w:p>
            <w:r/>
            <w:r>
              <w:rPr>
                <w:sz w:val="16"/>
              </w:rPr>
            </w:r>
          </w:p>
        </w:tc>
      </w:tr>
      <w:tr>
        <w:tc>
          <w:tcPr>
            <w:tcW w:type="dxa" w:w="1134"/>
          </w:tcPr>
          <w:p>
            <w:r/>
            <w:r>
              <w:rPr>
                <w:sz w:val="16"/>
              </w:rPr>
              <w:t>2011/12</w:t>
            </w:r>
          </w:p>
        </w:tc>
        <w:tc>
          <w:tcPr>
            <w:tcW w:type="dxa" w:w="1247"/>
          </w:tcPr>
          <w:p>
            <w:r/>
            <w:r>
              <w:rPr>
                <w:sz w:val="16"/>
              </w:rPr>
              <w:t>-10.4 %</w:t>
            </w:r>
          </w:p>
        </w:tc>
        <w:tc>
          <w:tcPr>
            <w:tcW w:type="dxa" w:w="1247"/>
          </w:tcPr>
          <w:p>
            <w:r/>
            <w:r>
              <w:rPr>
                <w:sz w:val="16"/>
              </w:rPr>
              <w:t>-16.5 %</w:t>
            </w:r>
          </w:p>
        </w:tc>
        <w:tc>
          <w:tcPr>
            <w:tcW w:type="dxa" w:w="1814"/>
          </w:tcPr>
          <w:p>
            <w:r/>
            <w:r>
              <w:rPr>
                <w:sz w:val="16"/>
              </w:rPr>
              <w:t>La Niña (-1.1)</w:t>
            </w:r>
          </w:p>
        </w:tc>
        <w:tc>
          <w:tcPr>
            <w:tcW w:type="dxa" w:w="4195"/>
          </w:tcPr>
          <w:p>
            <w:r/>
            <w:r>
              <w:rPr>
                <w:sz w:val="16"/>
              </w:rPr>
            </w:r>
          </w:p>
        </w:tc>
      </w:tr>
      <w:tr>
        <w:tc>
          <w:tcPr>
            <w:tcW w:type="dxa" w:w="1134"/>
          </w:tcPr>
          <w:p>
            <w:r/>
            <w:r>
              <w:rPr>
                <w:sz w:val="16"/>
              </w:rPr>
              <w:t>2017/18</w:t>
            </w:r>
          </w:p>
        </w:tc>
        <w:tc>
          <w:tcPr>
            <w:tcW w:type="dxa" w:w="1247"/>
          </w:tcPr>
          <w:p>
            <w:r/>
            <w:r>
              <w:rPr>
                <w:sz w:val="16"/>
              </w:rPr>
              <w:t>+21.1 %</w:t>
            </w:r>
          </w:p>
        </w:tc>
        <w:tc>
          <w:tcPr>
            <w:tcW w:type="dxa" w:w="1247"/>
          </w:tcPr>
          <w:p>
            <w:r/>
            <w:r>
              <w:rPr>
                <w:sz w:val="16"/>
              </w:rPr>
              <w:t>+28.8 %</w:t>
            </w:r>
          </w:p>
        </w:tc>
        <w:tc>
          <w:tcPr>
            <w:tcW w:type="dxa" w:w="1814"/>
          </w:tcPr>
          <w:p>
            <w:r/>
            <w:r>
              <w:rPr>
                <w:sz w:val="16"/>
              </w:rPr>
              <w:t>La Niña (-1.0)</w:t>
            </w:r>
          </w:p>
        </w:tc>
        <w:tc>
          <w:tcPr>
            <w:tcW w:type="dxa" w:w="4195"/>
          </w:tcPr>
          <w:p>
            <w:r/>
            <w:r>
              <w:rPr>
                <w:sz w:val="16"/>
              </w:rPr>
              <w:t>premiers effets du programme de replantation UCDA (2014-2018) : 4,9 M sacs en 2018/19</w:t>
            </w:r>
          </w:p>
        </w:tc>
      </w:tr>
      <w:tr>
        <w:tc>
          <w:tcPr>
            <w:tcW w:type="dxa" w:w="1134"/>
          </w:tcPr>
          <w:p>
            <w:r/>
            <w:r>
              <w:rPr>
                <w:sz w:val="16"/>
              </w:rPr>
              <w:t>2018/19</w:t>
            </w:r>
          </w:p>
        </w:tc>
        <w:tc>
          <w:tcPr>
            <w:tcW w:type="dxa" w:w="1247"/>
          </w:tcPr>
          <w:p>
            <w:r/>
            <w:r>
              <w:rPr>
                <w:sz w:val="16"/>
              </w:rPr>
              <w:t>+17.2 %</w:t>
            </w:r>
          </w:p>
        </w:tc>
        <w:tc>
          <w:tcPr>
            <w:tcW w:type="dxa" w:w="1247"/>
          </w:tcPr>
          <w:p>
            <w:r/>
            <w:r>
              <w:rPr>
                <w:sz w:val="16"/>
              </w:rPr>
              <w:t>+0.8 %</w:t>
            </w:r>
          </w:p>
        </w:tc>
        <w:tc>
          <w:tcPr>
            <w:tcW w:type="dxa" w:w="1814"/>
          </w:tcPr>
          <w:p>
            <w:r/>
            <w:r>
              <w:rPr>
                <w:sz w:val="16"/>
              </w:rPr>
              <w:t>El Niño (+0.9)</w:t>
            </w:r>
          </w:p>
        </w:tc>
        <w:tc>
          <w:tcPr>
            <w:tcW w:type="dxa" w:w="4195"/>
          </w:tcPr>
          <w:p>
            <w:r/>
            <w:r>
              <w:rPr>
                <w:sz w:val="16"/>
              </w:rPr>
            </w:r>
          </w:p>
        </w:tc>
      </w:tr>
      <w:tr>
        <w:tc>
          <w:tcPr>
            <w:tcW w:type="dxa" w:w="1134"/>
          </w:tcPr>
          <w:p>
            <w:r/>
            <w:r>
              <w:rPr>
                <w:sz w:val="16"/>
              </w:rPr>
              <w:t>2013/14</w:t>
            </w:r>
          </w:p>
        </w:tc>
        <w:tc>
          <w:tcPr>
            <w:tcW w:type="dxa" w:w="1247"/>
          </w:tcPr>
          <w:p>
            <w:r/>
            <w:r>
              <w:rPr>
                <w:sz w:val="16"/>
              </w:rPr>
              <w:t>+6.0 %</w:t>
            </w:r>
          </w:p>
        </w:tc>
        <w:tc>
          <w:tcPr>
            <w:tcW w:type="dxa" w:w="1247"/>
          </w:tcPr>
          <w:p>
            <w:r/>
            <w:r>
              <w:rPr>
                <w:sz w:val="16"/>
              </w:rPr>
              <w:t>-1.3 %</w:t>
            </w:r>
          </w:p>
        </w:tc>
        <w:tc>
          <w:tcPr>
            <w:tcW w:type="dxa" w:w="1814"/>
          </w:tcPr>
          <w:p>
            <w:r/>
            <w:r>
              <w:rPr>
                <w:sz w:val="16"/>
              </w:rPr>
              <w:t>neutre (-0.4)</w:t>
            </w:r>
          </w:p>
        </w:tc>
        <w:tc>
          <w:tcPr>
            <w:tcW w:type="dxa" w:w="4195"/>
          </w:tcPr>
          <w:p>
            <w:r/>
            <w:r>
              <w:rPr>
                <w:sz w:val="16"/>
              </w:rPr>
            </w:r>
          </w:p>
        </w:tc>
      </w:tr>
    </w:tbl>
    <w:p/>
    <w:p>
      <w:r>
        <w:rPr>
          <w:b w:val="0"/>
          <w:i w:val="0"/>
          <w:sz w:val="20"/>
        </w:rPr>
        <w:t>Sur 26 campagnes, 12 ont une production sous la moyenne de leurs voisines ; écart-type des écarts 11.4 %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en Afrique de l'Est, El Niño (souvent avec un dipôle de l'océan Indien positif) renforce les courtes pluies d'oct.-déc. (1997, 2006, 2015, 2019 : pluies extrêmes et inondations) ; La Niña affaiblit les pluies et provoque des sécheresses (2016-17, 2020-23). Pour le robusta ougandais, cultivé sans irrigation, l'humidité est plutôt bienvenue, mais des pluies excessives en oct.-déc. tombent en pleine récolte principale : chute des cerises, fermentation, séchage difficile, routes coupées. C'est ce que la balance sheet mesure : les campagnes El Niño sont sous la tendance.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1851540"/>
            <wp:docPr id="4" name="Picture 4"/>
            <wp:cNvGraphicFramePr>
              <a:graphicFrameLocks noChangeAspect="1"/>
            </wp:cNvGraphicFramePr>
            <a:graphic>
              <a:graphicData uri="http://schemas.openxmlformats.org/drawingml/2006/picture">
                <pic:pic>
                  <pic:nvPicPr>
                    <pic:cNvPr id="0" name="uganda_enso.png"/>
                    <pic:cNvPicPr/>
                  </pic:nvPicPr>
                  <pic:blipFill>
                    <a:blip r:embed="rId12"/>
                    <a:stretch>
                      <a:fillRect/>
                    </a:stretch>
                  </pic:blipFill>
                  <pic:spPr>
                    <a:xfrm>
                      <a:off x="0" y="0"/>
                      <a:ext cx="5760000" cy="1851540"/>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-7.7 %</w:t>
            </w:r>
          </w:p>
        </w:tc>
        <w:tc>
          <w:tcPr>
            <w:tcW w:type="dxa" w:w="1134"/>
          </w:tcPr>
          <w:p>
            <w:r/>
            <w:r>
              <w:rPr>
                <w:sz w:val="15"/>
              </w:rPr>
              <w:t>100 %</w:t>
            </w:r>
          </w:p>
        </w:tc>
        <w:tc>
          <w:tcPr>
            <w:tcW w:type="dxa" w:w="1361"/>
          </w:tcPr>
          <w:p>
            <w:r/>
            <w:r>
              <w:rPr>
                <w:sz w:val="15"/>
              </w:rPr>
              <w:t>-9.3 %</w:t>
            </w:r>
          </w:p>
        </w:tc>
        <w:tc>
          <w:tcPr>
            <w:tcW w:type="dxa" w:w="3402"/>
          </w:tcPr>
          <w:p>
            <w:r/>
            <w:r>
              <w:rPr>
                <w:sz w:val="15"/>
              </w:rPr>
              <w:t>2009/10 2015/16 2023/24</w:t>
            </w:r>
          </w:p>
        </w:tc>
      </w:tr>
      <w:tr>
        <w:tc>
          <w:tcPr>
            <w:tcW w:type="dxa" w:w="1814"/>
          </w:tcPr>
          <w:p>
            <w:r/>
            <w:r>
              <w:rPr>
                <w:sz w:val="15"/>
              </w:rPr>
              <w:t>El Niño</w:t>
            </w:r>
          </w:p>
        </w:tc>
        <w:tc>
          <w:tcPr>
            <w:tcW w:type="dxa" w:w="567"/>
          </w:tcPr>
          <w:p>
            <w:r/>
            <w:r>
              <w:rPr>
                <w:sz w:val="15"/>
              </w:rPr>
              <w:t>5</w:t>
            </w:r>
          </w:p>
        </w:tc>
        <w:tc>
          <w:tcPr>
            <w:tcW w:type="dxa" w:w="1361"/>
          </w:tcPr>
          <w:p>
            <w:r/>
            <w:r>
              <w:rPr>
                <w:sz w:val="15"/>
              </w:rPr>
              <w:t>-3.5 %</w:t>
            </w:r>
          </w:p>
        </w:tc>
        <w:tc>
          <w:tcPr>
            <w:tcW w:type="dxa" w:w="1134"/>
          </w:tcPr>
          <w:p>
            <w:r/>
            <w:r>
              <w:rPr>
                <w:sz w:val="15"/>
              </w:rPr>
              <w:t>80 %</w:t>
            </w:r>
          </w:p>
        </w:tc>
        <w:tc>
          <w:tcPr>
            <w:tcW w:type="dxa" w:w="1361"/>
          </w:tcPr>
          <w:p>
            <w:r/>
            <w:r>
              <w:rPr>
                <w:sz w:val="15"/>
              </w:rPr>
              <w:t>-7.6 %</w:t>
            </w:r>
          </w:p>
        </w:tc>
        <w:tc>
          <w:tcPr>
            <w:tcW w:type="dxa" w:w="3402"/>
          </w:tcPr>
          <w:p>
            <w:r/>
            <w:r>
              <w:rPr>
                <w:sz w:val="15"/>
              </w:rPr>
              <w:t>2009/10 2014/15 2015/16 2018/19 2023/24</w:t>
            </w:r>
          </w:p>
        </w:tc>
      </w:tr>
      <w:tr>
        <w:tc>
          <w:tcPr>
            <w:tcW w:type="dxa" w:w="1814"/>
          </w:tcPr>
          <w:p>
            <w:r/>
            <w:r>
              <w:rPr>
                <w:sz w:val="15"/>
              </w:rPr>
              <w:t>neutre</w:t>
            </w:r>
          </w:p>
        </w:tc>
        <w:tc>
          <w:tcPr>
            <w:tcW w:type="dxa" w:w="567"/>
          </w:tcPr>
          <w:p>
            <w:r/>
            <w:r>
              <w:rPr>
                <w:sz w:val="15"/>
              </w:rPr>
              <w:t>3</w:t>
            </w:r>
          </w:p>
        </w:tc>
        <w:tc>
          <w:tcPr>
            <w:tcW w:type="dxa" w:w="1361"/>
          </w:tcPr>
          <w:p>
            <w:r/>
            <w:r>
              <w:rPr>
                <w:sz w:val="15"/>
              </w:rPr>
              <w:t>-3.9 %</w:t>
            </w:r>
          </w:p>
        </w:tc>
        <w:tc>
          <w:tcPr>
            <w:tcW w:type="dxa" w:w="1134"/>
          </w:tcPr>
          <w:p>
            <w:r/>
            <w:r>
              <w:rPr>
                <w:sz w:val="15"/>
              </w:rPr>
              <w:t>33 %</w:t>
            </w:r>
          </w:p>
        </w:tc>
        <w:tc>
          <w:tcPr>
            <w:tcW w:type="dxa" w:w="1361"/>
          </w:tcPr>
          <w:p>
            <w:r/>
            <w:r>
              <w:rPr>
                <w:sz w:val="15"/>
              </w:rPr>
              <w:t>+4.9 %</w:t>
            </w:r>
          </w:p>
        </w:tc>
        <w:tc>
          <w:tcPr>
            <w:tcW w:type="dxa" w:w="3402"/>
          </w:tcPr>
          <w:p>
            <w:r/>
            <w:r>
              <w:rPr>
                <w:sz w:val="15"/>
              </w:rPr>
              <w:t>2012/13 2013/14 2019/20</w:t>
            </w:r>
          </w:p>
        </w:tc>
      </w:tr>
      <w:tr>
        <w:tc>
          <w:tcPr>
            <w:tcW w:type="dxa" w:w="1814"/>
          </w:tcPr>
          <w:p>
            <w:r/>
            <w:r>
              <w:rPr>
                <w:sz w:val="15"/>
              </w:rPr>
              <w:t>La Niña</w:t>
            </w:r>
          </w:p>
        </w:tc>
        <w:tc>
          <w:tcPr>
            <w:tcW w:type="dxa" w:w="567"/>
          </w:tcPr>
          <w:p>
            <w:r/>
            <w:r>
              <w:rPr>
                <w:sz w:val="15"/>
              </w:rPr>
              <w:t>7</w:t>
            </w:r>
          </w:p>
        </w:tc>
        <w:tc>
          <w:tcPr>
            <w:tcW w:type="dxa" w:w="1361"/>
          </w:tcPr>
          <w:p>
            <w:r/>
            <w:r>
              <w:rPr>
                <w:sz w:val="15"/>
              </w:rPr>
              <w:t>+3.0 %</w:t>
            </w:r>
          </w:p>
        </w:tc>
        <w:tc>
          <w:tcPr>
            <w:tcW w:type="dxa" w:w="1134"/>
          </w:tcPr>
          <w:p>
            <w:r/>
            <w:r>
              <w:rPr>
                <w:sz w:val="15"/>
              </w:rPr>
              <w:t>43 %</w:t>
            </w:r>
          </w:p>
        </w:tc>
        <w:tc>
          <w:tcPr>
            <w:tcW w:type="dxa" w:w="1361"/>
          </w:tcPr>
          <w:p>
            <w:r/>
            <w:r>
              <w:rPr>
                <w:sz w:val="15"/>
              </w:rPr>
              <w:t>+2.4 %</w:t>
            </w:r>
          </w:p>
        </w:tc>
        <w:tc>
          <w:tcPr>
            <w:tcW w:type="dxa" w:w="3402"/>
          </w:tcPr>
          <w:p>
            <w:r/>
            <w:r>
              <w:rPr>
                <w:sz w:val="15"/>
              </w:rPr>
              <w:t>2010/11 2011/12 2017/18 2020/21 2021/22 2022/23 2024/25</w:t>
            </w:r>
          </w:p>
        </w:tc>
      </w:tr>
      <w:tr>
        <w:tc>
          <w:tcPr>
            <w:tcW w:type="dxa" w:w="1814"/>
          </w:tcPr>
          <w:p>
            <w:r/>
            <w:r>
              <w:rPr>
                <w:sz w:val="15"/>
              </w:rPr>
              <w:t>La Niña forte (|ONI| ≥ 1)</w:t>
            </w:r>
          </w:p>
        </w:tc>
        <w:tc>
          <w:tcPr>
            <w:tcW w:type="dxa" w:w="567"/>
          </w:tcPr>
          <w:p>
            <w:r/>
            <w:r>
              <w:rPr>
                <w:sz w:val="15"/>
              </w:rPr>
              <w:t>6</w:t>
            </w:r>
          </w:p>
        </w:tc>
        <w:tc>
          <w:tcPr>
            <w:tcW w:type="dxa" w:w="1361"/>
          </w:tcPr>
          <w:p>
            <w:r/>
            <w:r>
              <w:rPr>
                <w:sz w:val="15"/>
              </w:rPr>
              <w:t>+3.5 %</w:t>
            </w:r>
          </w:p>
        </w:tc>
        <w:tc>
          <w:tcPr>
            <w:tcW w:type="dxa" w:w="1134"/>
          </w:tcPr>
          <w:p>
            <w:r/>
            <w:r>
              <w:rPr>
                <w:sz w:val="15"/>
              </w:rPr>
              <w:t>33 %</w:t>
            </w:r>
          </w:p>
        </w:tc>
        <w:tc>
          <w:tcPr>
            <w:tcW w:type="dxa" w:w="1361"/>
          </w:tcPr>
          <w:p>
            <w:r/>
            <w:r>
              <w:rPr>
                <w:sz w:val="15"/>
              </w:rPr>
              <w:t>+5.2 %</w:t>
            </w:r>
          </w:p>
        </w:tc>
        <w:tc>
          <w:tcPr>
            <w:tcW w:type="dxa" w:w="3402"/>
          </w:tcPr>
          <w:p>
            <w:r/>
            <w:r>
              <w:rPr>
                <w:sz w:val="15"/>
              </w:rPr>
              <w:t>2010/11 2011/12 2017/18 2020/21 2021/22 2022/23</w:t>
            </w:r>
          </w:p>
        </w:tc>
      </w:tr>
    </w:tbl>
    <w:p/>
    <w:p>
      <w:r>
        <w:rPr>
          <w:b w:val="0"/>
          <w:i w:val="0"/>
          <w:sz w:val="20"/>
        </w:rPr>
        <w:t>Lecture : pour Ouganda, El Niño est historiquement négatif pour le rendement (-3.5 %)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7 160 ; avec l'effet El Niño moyen (-7.6 %) : 6 614 ; avec l'effet des El Niño forts (-9.3 %) : 6 494 (milliers de sacs).</w:t>
      </w:r>
    </w:p>
    <w:p>
      <w:pPr>
        <w:pStyle w:val="Heading1"/>
      </w:pPr>
      <w:r>
        <w:t>7. Prévision</w:t>
      </w:r>
    </w:p>
    <w:p>
      <w:r>
        <w:rPr>
          <w:b w:val="0"/>
          <w:i w:val="0"/>
          <w:sz w:val="20"/>
        </w:rPr>
        <w:t>Modèle ARMA retenu pour Production Total : ARIMA(0,1,0), équation ∇X_t = ε_t ; ∇X_t = X_t − X_{t-1}. Backtest sur les 3 dernières campagnes : erreur moyenne 8.3 % contre 8.3 %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7 160</w:t>
            </w:r>
          </w:p>
        </w:tc>
        <w:tc>
          <w:tcPr>
            <w:tcW w:type="dxa" w:w="2268"/>
          </w:tcPr>
          <w:p>
            <w:r/>
            <w:r>
              <w:rPr>
                <w:sz w:val="17"/>
              </w:rPr>
              <w:t>6 504 – 7 816</w:t>
            </w:r>
          </w:p>
        </w:tc>
        <w:tc>
          <w:tcPr>
            <w:tcW w:type="dxa" w:w="2268"/>
          </w:tcPr>
          <w:p>
            <w:r/>
            <w:r>
              <w:rPr>
                <w:sz w:val="17"/>
              </w:rPr>
              <w:t>6 157 – 8 163</w:t>
            </w:r>
          </w:p>
        </w:tc>
      </w:tr>
      <w:tr>
        <w:tc>
          <w:tcPr>
            <w:tcW w:type="dxa" w:w="1701"/>
          </w:tcPr>
          <w:p>
            <w:r/>
            <w:r>
              <w:rPr>
                <w:sz w:val="17"/>
              </w:rPr>
              <w:t>2028/29</w:t>
            </w:r>
          </w:p>
        </w:tc>
        <w:tc>
          <w:tcPr>
            <w:tcW w:type="dxa" w:w="1701"/>
          </w:tcPr>
          <w:p>
            <w:r/>
            <w:r>
              <w:rPr>
                <w:sz w:val="17"/>
              </w:rPr>
              <w:t>7 160</w:t>
            </w:r>
          </w:p>
        </w:tc>
        <w:tc>
          <w:tcPr>
            <w:tcW w:type="dxa" w:w="2268"/>
          </w:tcPr>
          <w:p>
            <w:r/>
            <w:r>
              <w:rPr>
                <w:sz w:val="17"/>
              </w:rPr>
              <w:t>6 232 – 8 088</w:t>
            </w:r>
          </w:p>
        </w:tc>
        <w:tc>
          <w:tcPr>
            <w:tcW w:type="dxa" w:w="2268"/>
          </w:tcPr>
          <w:p>
            <w:r/>
            <w:r>
              <w:rPr>
                <w:sz w:val="17"/>
              </w:rPr>
              <w:t>5 741 – 8 579</w:t>
            </w:r>
          </w:p>
        </w:tc>
      </w:tr>
      <w:tr>
        <w:tc>
          <w:tcPr>
            <w:tcW w:type="dxa" w:w="1701"/>
          </w:tcPr>
          <w:p>
            <w:r/>
            <w:r>
              <w:rPr>
                <w:sz w:val="17"/>
              </w:rPr>
              <w:t>2029/30</w:t>
            </w:r>
          </w:p>
        </w:tc>
        <w:tc>
          <w:tcPr>
            <w:tcW w:type="dxa" w:w="1701"/>
          </w:tcPr>
          <w:p>
            <w:r/>
            <w:r>
              <w:rPr>
                <w:sz w:val="17"/>
              </w:rPr>
              <w:t>7 160</w:t>
            </w:r>
          </w:p>
        </w:tc>
        <w:tc>
          <w:tcPr>
            <w:tcW w:type="dxa" w:w="2268"/>
          </w:tcPr>
          <w:p>
            <w:r/>
            <w:r>
              <w:rPr>
                <w:sz w:val="17"/>
              </w:rPr>
              <w:t>6 024 – 8 296</w:t>
            </w:r>
          </w:p>
        </w:tc>
        <w:tc>
          <w:tcPr>
            <w:tcW w:type="dxa" w:w="2268"/>
          </w:tcPr>
          <w:p>
            <w:r/>
            <w:r>
              <w:rPr>
                <w:sz w:val="17"/>
              </w:rPr>
              <w:t>5 423 – 8 897</w:t>
            </w:r>
          </w:p>
        </w:tc>
      </w:tr>
      <w:tr>
        <w:tc>
          <w:tcPr>
            <w:tcW w:type="dxa" w:w="1701"/>
          </w:tcPr>
          <w:p>
            <w:r/>
            <w:r>
              <w:rPr>
                <w:sz w:val="17"/>
              </w:rPr>
              <w:t>2030/31</w:t>
            </w:r>
          </w:p>
        </w:tc>
        <w:tc>
          <w:tcPr>
            <w:tcW w:type="dxa" w:w="1701"/>
          </w:tcPr>
          <w:p>
            <w:r/>
            <w:r>
              <w:rPr>
                <w:sz w:val="17"/>
              </w:rPr>
              <w:t>7 160</w:t>
            </w:r>
          </w:p>
        </w:tc>
        <w:tc>
          <w:tcPr>
            <w:tcW w:type="dxa" w:w="2268"/>
          </w:tcPr>
          <w:p>
            <w:r/>
            <w:r>
              <w:rPr>
                <w:sz w:val="17"/>
              </w:rPr>
              <w:t>5 848 – 8 472</w:t>
            </w:r>
          </w:p>
        </w:tc>
        <w:tc>
          <w:tcPr>
            <w:tcW w:type="dxa" w:w="2268"/>
          </w:tcPr>
          <w:p>
            <w:r/>
            <w:r>
              <w:rPr>
                <w:sz w:val="17"/>
              </w:rPr>
              <w:t>5 154 – 9 166</w:t>
            </w:r>
          </w:p>
        </w:tc>
      </w:tr>
      <w:tr>
        <w:tc>
          <w:tcPr>
            <w:tcW w:type="dxa" w:w="1701"/>
          </w:tcPr>
          <w:p>
            <w:r/>
            <w:r>
              <w:rPr>
                <w:sz w:val="17"/>
              </w:rPr>
              <w:t>2031/32</w:t>
            </w:r>
          </w:p>
        </w:tc>
        <w:tc>
          <w:tcPr>
            <w:tcW w:type="dxa" w:w="1701"/>
          </w:tcPr>
          <w:p>
            <w:r/>
            <w:r>
              <w:rPr>
                <w:sz w:val="17"/>
              </w:rPr>
              <w:t>7 160</w:t>
            </w:r>
          </w:p>
        </w:tc>
        <w:tc>
          <w:tcPr>
            <w:tcW w:type="dxa" w:w="2268"/>
          </w:tcPr>
          <w:p>
            <w:r/>
            <w:r>
              <w:rPr>
                <w:sz w:val="17"/>
              </w:rPr>
              <w:t>5 693 – 8 627</w:t>
            </w:r>
          </w:p>
        </w:tc>
        <w:tc>
          <w:tcPr>
            <w:tcW w:type="dxa" w:w="2268"/>
          </w:tcPr>
          <w:p>
            <w:r/>
            <w:r>
              <w:rPr>
                <w:sz w:val="17"/>
              </w:rPr>
              <w:t>4 917 – 9 403</w:t>
            </w:r>
          </w:p>
        </w:tc>
      </w:tr>
    </w:tbl>
    <w:p/>
    <w:p>
      <w:pPr>
        <w:jc w:val="center"/>
      </w:pPr>
      <w:r>
        <w:drawing>
          <wp:inline xmlns:a="http://schemas.openxmlformats.org/drawingml/2006/main" xmlns:pic="http://schemas.openxmlformats.org/drawingml/2006/picture">
            <wp:extent cx="5940000" cy="4131956"/>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131956"/>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Uganda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