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Vietnam : balance sheet café, de la météo au rendement et à la production</w:t>
      </w:r>
    </w:p>
    <w:p>
      <w:r>
        <w:rPr>
          <w:b w:val="0"/>
          <w:i/>
          <w:color w:val="52514E"/>
          <w:sz w:val="18"/>
        </w:rPr>
        <w:t>Au 16 septembre 2026. Source des chiffres : balance sheet (onglet Vietnam), USDA. Classification ENSO : official ONI/RONI table /home/user/procafe/timeseries/data/oni.csv.</w:t>
      </w:r>
    </w:p>
    <w:p>
      <w:r>
        <w:rPr>
          <w:b w:val="0"/>
          <w:i w:val="0"/>
          <w:sz w:val="18"/>
        </w:rPr>
        <w:t>Le rendement de la balance sheet est en t/ha (USDA). Aucun stock d'arbres n'est renseigné.</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1995/96 et 2025/26, la production est passée de 3 917 à 31 700 (+7.2 % par an) : surface bearing +6.3 % par an, rendement +0.8 % par an. La surface fait la croissance.</w:t>
      </w:r>
    </w:p>
    <w:p>
      <w:pPr>
        <w:pStyle w:val="ListBullet"/>
      </w:pPr>
      <w:r>
        <w:rPr>
          <w:sz w:val="20"/>
        </w:rPr>
        <w:t>El Niño : rendement en moyenne -3.2 % par rapport aux campagnes voisines sur 7 campagnes (71 % d'entre elles sous la moyenne) ; El Niño fort : -3.5 % (3 campagnes, 100 % sous la moyenne). La Niña : +3.0 % (10 campagnes).</w:t>
      </w:r>
    </w:p>
    <w:p>
      <w:pPr>
        <w:pStyle w:val="ListBullet"/>
      </w:pPr>
      <w:r>
        <w:rPr>
          <w:sz w:val="20"/>
        </w:rPr>
        <w:t>L'El Niño en cours pèse donc sur la saison sèche 2027 et la campagne 2027/28.</w:t>
      </w:r>
    </w:p>
    <w:p>
      <w:pPr>
        <w:pStyle w:val="ListBullet"/>
      </w:pPr>
      <w:r>
        <w:rPr>
          <w:sz w:val="20"/>
        </w:rPr>
        <w:t>Prévision Production Total 2027/28 : 33 262 (intervalle 80 % 29 848 – 36 675) par le modèle ARMA ; avec l'effet El Niño historique moyen (-4.5 %) : 31 778.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78716"/>
            <wp:docPr id="1" name="Picture 1"/>
            <wp:cNvGraphicFramePr>
              <a:graphicFrameLocks noChangeAspect="1"/>
            </wp:cNvGraphicFramePr>
            <a:graphic>
              <a:graphicData uri="http://schemas.openxmlformats.org/drawingml/2006/picture">
                <pic:pic>
                  <pic:nvPicPr>
                    <pic:cNvPr id="0" name="vietnam_chain.png"/>
                    <pic:cNvPicPr/>
                  </pic:nvPicPr>
                  <pic:blipFill>
                    <a:blip r:embed="rId9"/>
                    <a:stretch>
                      <a:fillRect/>
                    </a:stretch>
                  </pic:blipFill>
                  <pic:spPr>
                    <a:xfrm>
                      <a:off x="0" y="0"/>
                      <a:ext cx="5760000" cy="277871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95 %, Hauts Plateaux du centre) et arabica (≈ 5 %, Lâm Đồng, Sơn La, Điện Biên). Campagne USDA : octobre-septembre (la balance sheet utilise novembre). Régions : Đắk Lắk, Lâm Đồng, Đắk Nông, Gia Lai, Kon Tum (Hauts Plateaux, 500-800 m) ; arabica au nord-ouest (Sơn La, Điện Biên) et à Lâm Đồng.</w:t>
      </w:r>
    </w:p>
    <w:p>
      <w:pPr>
        <w:jc w:val="center"/>
      </w:pPr>
      <w:r>
        <w:drawing>
          <wp:inline xmlns:a="http://schemas.openxmlformats.org/drawingml/2006/main" xmlns:pic="http://schemas.openxmlformats.org/drawingml/2006/picture">
            <wp:extent cx="5760000" cy="1933888"/>
            <wp:docPr id="2" name="Picture 2"/>
            <wp:cNvGraphicFramePr>
              <a:graphicFrameLocks noChangeAspect="1"/>
            </wp:cNvGraphicFramePr>
            <a:graphic>
              <a:graphicData uri="http://schemas.openxmlformats.org/drawingml/2006/picture">
                <pic:pic>
                  <pic:nvPicPr>
                    <pic:cNvPr id="0" name="vietnam_calendar.png"/>
                    <pic:cNvPicPr/>
                  </pic:nvPicPr>
                  <pic:blipFill>
                    <a:blip r:embed="rId10"/>
                    <a:stretch>
                      <a:fillRect/>
                    </a:stretch>
                  </pic:blipFill>
                  <pic:spPr>
                    <a:xfrm>
                      <a:off x="0" y="0"/>
                      <a:ext cx="5760000" cy="193388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janv. Y+1) dépend de la saison sèche de janv.-avril Y (irrigation, floraison) puis de la mousson de Y : l'épisode qui culmine en déc.-fév. Y-1/Y la pilote. L'El Niño en cours pèse donc sur la saison sèche 2027 et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30 400</w:t>
            </w:r>
          </w:p>
        </w:tc>
        <w:tc>
          <w:tcPr>
            <w:tcW w:type="dxa" w:w="997"/>
          </w:tcPr>
          <w:p>
            <w:r/>
            <w:r>
              <w:rPr>
                <w:sz w:val="15"/>
              </w:rPr>
              <w:t>31 300</w:t>
            </w:r>
          </w:p>
        </w:tc>
        <w:tc>
          <w:tcPr>
            <w:tcW w:type="dxa" w:w="997"/>
          </w:tcPr>
          <w:p>
            <w:r/>
            <w:r>
              <w:rPr>
                <w:sz w:val="15"/>
              </w:rPr>
              <w:t>29 000</w:t>
            </w:r>
          </w:p>
        </w:tc>
        <w:tc>
          <w:tcPr>
            <w:tcW w:type="dxa" w:w="997"/>
          </w:tcPr>
          <w:p>
            <w:r/>
            <w:r>
              <w:rPr>
                <w:sz w:val="15"/>
              </w:rPr>
              <w:t>31 580</w:t>
            </w:r>
          </w:p>
        </w:tc>
        <w:tc>
          <w:tcPr>
            <w:tcW w:type="dxa" w:w="997"/>
          </w:tcPr>
          <w:p>
            <w:r/>
            <w:r>
              <w:rPr>
                <w:sz w:val="15"/>
              </w:rPr>
              <w:t>28 200</w:t>
            </w:r>
          </w:p>
        </w:tc>
        <w:tc>
          <w:tcPr>
            <w:tcW w:type="dxa" w:w="997"/>
          </w:tcPr>
          <w:p>
            <w:r/>
            <w:r>
              <w:rPr>
                <w:sz w:val="15"/>
              </w:rPr>
              <w:t>27 550</w:t>
            </w:r>
          </w:p>
        </w:tc>
        <w:tc>
          <w:tcPr>
            <w:tcW w:type="dxa" w:w="997"/>
          </w:tcPr>
          <w:p>
            <w:r/>
            <w:r>
              <w:rPr>
                <w:sz w:val="15"/>
              </w:rPr>
              <w:t>29 100</w:t>
            </w:r>
          </w:p>
        </w:tc>
        <w:tc>
          <w:tcPr>
            <w:tcW w:type="dxa" w:w="997"/>
          </w:tcPr>
          <w:p>
            <w:r/>
            <w:r>
              <w:rPr>
                <w:sz w:val="15"/>
              </w:rPr>
              <w:t>31 700</w:t>
            </w:r>
          </w:p>
        </w:tc>
        <w:tc>
          <w:tcPr>
            <w:tcW w:type="dxa" w:w="997"/>
          </w:tcPr>
          <w:p>
            <w:r/>
            <w:r>
              <w:rPr>
                <w:sz w:val="15"/>
              </w:rPr>
              <w:t>32 500</w:t>
            </w:r>
          </w:p>
        </w:tc>
      </w:tr>
      <w:tr>
        <w:tc>
          <w:tcPr>
            <w:tcW w:type="dxa" w:w="997"/>
          </w:tcPr>
          <w:p>
            <w:r/>
            <w:r>
              <w:rPr>
                <w:sz w:val="15"/>
              </w:rPr>
              <w:t>Arabica (1000 60-kg bags)</w:t>
            </w:r>
          </w:p>
        </w:tc>
        <w:tc>
          <w:tcPr>
            <w:tcW w:type="dxa" w:w="997"/>
          </w:tcPr>
          <w:p>
            <w:r/>
            <w:r>
              <w:rPr>
                <w:sz w:val="15"/>
              </w:rPr>
              <w:t>1 064</w:t>
            </w:r>
          </w:p>
        </w:tc>
        <w:tc>
          <w:tcPr>
            <w:tcW w:type="dxa" w:w="997"/>
          </w:tcPr>
          <w:p>
            <w:r/>
            <w:r>
              <w:rPr>
                <w:sz w:val="15"/>
              </w:rPr>
              <w:t>1 100</w:t>
            </w:r>
          </w:p>
        </w:tc>
        <w:tc>
          <w:tcPr>
            <w:tcW w:type="dxa" w:w="997"/>
          </w:tcPr>
          <w:p>
            <w:r/>
            <w:r>
              <w:rPr>
                <w:sz w:val="15"/>
              </w:rPr>
              <w:t>950</w:t>
            </w:r>
          </w:p>
        </w:tc>
        <w:tc>
          <w:tcPr>
            <w:tcW w:type="dxa" w:w="997"/>
          </w:tcPr>
          <w:p>
            <w:r/>
            <w:r>
              <w:rPr>
                <w:sz w:val="15"/>
              </w:rPr>
              <w:t>1 100</w:t>
            </w:r>
          </w:p>
        </w:tc>
        <w:tc>
          <w:tcPr>
            <w:tcW w:type="dxa" w:w="997"/>
          </w:tcPr>
          <w:p>
            <w:r/>
            <w:r>
              <w:rPr>
                <w:sz w:val="15"/>
              </w:rPr>
              <w:t>900</w:t>
            </w:r>
          </w:p>
        </w:tc>
        <w:tc>
          <w:tcPr>
            <w:tcW w:type="dxa" w:w="997"/>
          </w:tcPr>
          <w:p>
            <w:r/>
            <w:r>
              <w:rPr>
                <w:sz w:val="15"/>
              </w:rPr>
              <w:t>1 000</w:t>
            </w:r>
          </w:p>
        </w:tc>
        <w:tc>
          <w:tcPr>
            <w:tcW w:type="dxa" w:w="997"/>
          </w:tcPr>
          <w:p>
            <w:r/>
            <w:r>
              <w:rPr>
                <w:sz w:val="15"/>
              </w:rPr>
              <w:t>1 100</w:t>
            </w:r>
          </w:p>
        </w:tc>
        <w:tc>
          <w:tcPr>
            <w:tcW w:type="dxa" w:w="997"/>
          </w:tcPr>
          <w:p>
            <w:r/>
            <w:r>
              <w:rPr>
                <w:sz w:val="15"/>
              </w:rPr>
              <w:t>1 200</w:t>
            </w:r>
          </w:p>
        </w:tc>
        <w:tc>
          <w:tcPr>
            <w:tcW w:type="dxa" w:w="997"/>
          </w:tcPr>
          <w:p>
            <w:r/>
            <w:r>
              <w:rPr>
                <w:sz w:val="15"/>
              </w:rPr>
              <w:t>1 100</w:t>
            </w:r>
          </w:p>
        </w:tc>
      </w:tr>
      <w:tr>
        <w:tc>
          <w:tcPr>
            <w:tcW w:type="dxa" w:w="997"/>
          </w:tcPr>
          <w:p>
            <w:r/>
            <w:r>
              <w:rPr>
                <w:sz w:val="15"/>
              </w:rPr>
              <w:t>Robusta (1000 60-kg bags)</w:t>
            </w:r>
          </w:p>
        </w:tc>
        <w:tc>
          <w:tcPr>
            <w:tcW w:type="dxa" w:w="997"/>
          </w:tcPr>
          <w:p>
            <w:r/>
            <w:r>
              <w:rPr>
                <w:sz w:val="15"/>
              </w:rPr>
              <w:t>29 336</w:t>
            </w:r>
          </w:p>
        </w:tc>
        <w:tc>
          <w:tcPr>
            <w:tcW w:type="dxa" w:w="997"/>
          </w:tcPr>
          <w:p>
            <w:r/>
            <w:r>
              <w:rPr>
                <w:sz w:val="15"/>
              </w:rPr>
              <w:t>30 200</w:t>
            </w:r>
          </w:p>
        </w:tc>
        <w:tc>
          <w:tcPr>
            <w:tcW w:type="dxa" w:w="997"/>
          </w:tcPr>
          <w:p>
            <w:r/>
            <w:r>
              <w:rPr>
                <w:sz w:val="15"/>
              </w:rPr>
              <w:t>28 050</w:t>
            </w:r>
          </w:p>
        </w:tc>
        <w:tc>
          <w:tcPr>
            <w:tcW w:type="dxa" w:w="997"/>
          </w:tcPr>
          <w:p>
            <w:r/>
            <w:r>
              <w:rPr>
                <w:sz w:val="15"/>
              </w:rPr>
              <w:t>30 480</w:t>
            </w:r>
          </w:p>
        </w:tc>
        <w:tc>
          <w:tcPr>
            <w:tcW w:type="dxa" w:w="997"/>
          </w:tcPr>
          <w:p>
            <w:r/>
            <w:r>
              <w:rPr>
                <w:sz w:val="15"/>
              </w:rPr>
              <w:t>27 300</w:t>
            </w:r>
          </w:p>
        </w:tc>
        <w:tc>
          <w:tcPr>
            <w:tcW w:type="dxa" w:w="997"/>
          </w:tcPr>
          <w:p>
            <w:r/>
            <w:r>
              <w:rPr>
                <w:sz w:val="15"/>
              </w:rPr>
              <w:t>26 550</w:t>
            </w:r>
          </w:p>
        </w:tc>
        <w:tc>
          <w:tcPr>
            <w:tcW w:type="dxa" w:w="997"/>
          </w:tcPr>
          <w:p>
            <w:r/>
            <w:r>
              <w:rPr>
                <w:sz w:val="15"/>
              </w:rPr>
              <w:t>28 000</w:t>
            </w:r>
          </w:p>
        </w:tc>
        <w:tc>
          <w:tcPr>
            <w:tcW w:type="dxa" w:w="997"/>
          </w:tcPr>
          <w:p>
            <w:r/>
            <w:r>
              <w:rPr>
                <w:sz w:val="15"/>
              </w:rPr>
              <w:t>30 500</w:t>
            </w:r>
          </w:p>
        </w:tc>
        <w:tc>
          <w:tcPr>
            <w:tcW w:type="dxa" w:w="997"/>
          </w:tcPr>
          <w:p>
            <w:r/>
            <w:r>
              <w:rPr>
                <w:sz w:val="15"/>
              </w:rPr>
              <w:t>31 400</w:t>
            </w:r>
          </w:p>
        </w:tc>
      </w:tr>
      <w:tr>
        <w:tc>
          <w:tcPr>
            <w:tcW w:type="dxa" w:w="997"/>
          </w:tcPr>
          <w:p>
            <w:r/>
            <w:r>
              <w:rPr>
                <w:sz w:val="15"/>
              </w:rPr>
              <w:t>Surface totale (1000 ha)</w:t>
            </w:r>
          </w:p>
        </w:tc>
        <w:tc>
          <w:tcPr>
            <w:tcW w:type="dxa" w:w="997"/>
          </w:tcPr>
          <w:p>
            <w:r/>
            <w:r>
              <w:rPr>
                <w:sz w:val="15"/>
              </w:rPr>
              <w:t>682</w:t>
            </w:r>
          </w:p>
        </w:tc>
        <w:tc>
          <w:tcPr>
            <w:tcW w:type="dxa" w:w="997"/>
          </w:tcPr>
          <w:p>
            <w:r/>
            <w:r>
              <w:rPr>
                <w:sz w:val="15"/>
              </w:rPr>
              <w:t>690</w:t>
            </w:r>
          </w:p>
        </w:tc>
        <w:tc>
          <w:tcPr>
            <w:tcW w:type="dxa" w:w="997"/>
          </w:tcPr>
          <w:p>
            <w:r/>
            <w:r>
              <w:rPr>
                <w:sz w:val="15"/>
              </w:rPr>
              <w:t>697</w:t>
            </w:r>
          </w:p>
        </w:tc>
        <w:tc>
          <w:tcPr>
            <w:tcW w:type="dxa" w:w="997"/>
          </w:tcPr>
          <w:p>
            <w:r/>
            <w:r>
              <w:rPr>
                <w:sz w:val="15"/>
              </w:rPr>
              <w:t>706</w:t>
            </w:r>
          </w:p>
        </w:tc>
        <w:tc>
          <w:tcPr>
            <w:tcW w:type="dxa" w:w="997"/>
          </w:tcPr>
          <w:p>
            <w:r/>
            <w:r>
              <w:rPr>
                <w:sz w:val="15"/>
              </w:rPr>
              <w:t>710</w:t>
            </w:r>
          </w:p>
        </w:tc>
        <w:tc>
          <w:tcPr>
            <w:tcW w:type="dxa" w:w="997"/>
          </w:tcPr>
          <w:p>
            <w:r/>
            <w:r>
              <w:rPr>
                <w:sz w:val="15"/>
              </w:rPr>
              <w:t>715</w:t>
            </w:r>
          </w:p>
        </w:tc>
        <w:tc>
          <w:tcPr>
            <w:tcW w:type="dxa" w:w="997"/>
          </w:tcPr>
          <w:p>
            <w:r/>
            <w:r>
              <w:rPr>
                <w:sz w:val="15"/>
              </w:rPr>
              <w:t>715</w:t>
            </w:r>
          </w:p>
        </w:tc>
        <w:tc>
          <w:tcPr>
            <w:tcW w:type="dxa" w:w="997"/>
          </w:tcPr>
          <w:p>
            <w:r/>
            <w:r>
              <w:rPr>
                <w:sz w:val="15"/>
              </w:rPr>
              <w:t>730</w:t>
            </w:r>
          </w:p>
        </w:tc>
        <w:tc>
          <w:tcPr>
            <w:tcW w:type="dxa" w:w="997"/>
          </w:tcPr>
          <w:p>
            <w:r/>
            <w:r>
              <w:rPr>
                <w:sz w:val="15"/>
              </w:rPr>
              <w:t>730</w:t>
            </w:r>
          </w:p>
        </w:tc>
      </w:tr>
      <w:tr>
        <w:tc>
          <w:tcPr>
            <w:tcW w:type="dxa" w:w="997"/>
          </w:tcPr>
          <w:p>
            <w:r/>
            <w:r>
              <w:rPr>
                <w:sz w:val="15"/>
              </w:rPr>
              <w:t>Surface bearing (1000 ha)</w:t>
            </w:r>
          </w:p>
        </w:tc>
        <w:tc>
          <w:tcPr>
            <w:tcW w:type="dxa" w:w="997"/>
          </w:tcPr>
          <w:p>
            <w:r/>
            <w:r>
              <w:rPr>
                <w:sz w:val="15"/>
              </w:rPr>
              <w:t>607</w:t>
            </w:r>
          </w:p>
        </w:tc>
        <w:tc>
          <w:tcPr>
            <w:tcW w:type="dxa" w:w="997"/>
          </w:tcPr>
          <w:p>
            <w:r/>
            <w:r>
              <w:rPr>
                <w:sz w:val="15"/>
              </w:rPr>
              <w:t>620</w:t>
            </w:r>
          </w:p>
        </w:tc>
        <w:tc>
          <w:tcPr>
            <w:tcW w:type="dxa" w:w="997"/>
          </w:tcPr>
          <w:p>
            <w:r/>
            <w:r>
              <w:rPr>
                <w:sz w:val="15"/>
              </w:rPr>
              <w:t>620</w:t>
            </w:r>
          </w:p>
        </w:tc>
        <w:tc>
          <w:tcPr>
            <w:tcW w:type="dxa" w:w="997"/>
          </w:tcPr>
          <w:p>
            <w:r/>
            <w:r>
              <w:rPr>
                <w:sz w:val="15"/>
              </w:rPr>
              <w:t>620</w:t>
            </w:r>
          </w:p>
        </w:tc>
        <w:tc>
          <w:tcPr>
            <w:tcW w:type="dxa" w:w="997"/>
          </w:tcPr>
          <w:p>
            <w:r/>
            <w:r>
              <w:rPr>
                <w:sz w:val="15"/>
              </w:rPr>
              <w:t>612</w:t>
            </w:r>
          </w:p>
        </w:tc>
        <w:tc>
          <w:tcPr>
            <w:tcW w:type="dxa" w:w="997"/>
          </w:tcPr>
          <w:p>
            <w:r/>
            <w:r>
              <w:rPr>
                <w:sz w:val="15"/>
              </w:rPr>
              <w:t>612</w:t>
            </w:r>
          </w:p>
        </w:tc>
        <w:tc>
          <w:tcPr>
            <w:tcW w:type="dxa" w:w="997"/>
          </w:tcPr>
          <w:p>
            <w:r/>
            <w:r>
              <w:rPr>
                <w:sz w:val="15"/>
              </w:rPr>
              <w:t>615</w:t>
            </w:r>
          </w:p>
        </w:tc>
        <w:tc>
          <w:tcPr>
            <w:tcW w:type="dxa" w:w="997"/>
          </w:tcPr>
          <w:p>
            <w:r/>
            <w:r>
              <w:rPr>
                <w:sz w:val="15"/>
              </w:rPr>
              <w:t>630</w:t>
            </w:r>
          </w:p>
        </w:tc>
        <w:tc>
          <w:tcPr>
            <w:tcW w:type="dxa" w:w="997"/>
          </w:tcPr>
          <w:p>
            <w:r/>
            <w:r>
              <w:rPr>
                <w:sz w:val="15"/>
              </w:rPr>
              <w:t>644</w:t>
            </w:r>
          </w:p>
        </w:tc>
      </w:tr>
      <w:tr>
        <w:tc>
          <w:tcPr>
            <w:tcW w:type="dxa" w:w="997"/>
          </w:tcPr>
          <w:p>
            <w:r/>
            <w:r>
              <w:rPr>
                <w:sz w:val="15"/>
              </w:rPr>
              <w:t>Surface non-bearing (1000 ha)</w:t>
            </w:r>
          </w:p>
        </w:tc>
        <w:tc>
          <w:tcPr>
            <w:tcW w:type="dxa" w:w="997"/>
          </w:tcPr>
          <w:p>
            <w:r/>
            <w:r>
              <w:rPr>
                <w:sz w:val="15"/>
              </w:rPr>
              <w:t>75.0</w:t>
            </w:r>
          </w:p>
        </w:tc>
        <w:tc>
          <w:tcPr>
            <w:tcW w:type="dxa" w:w="997"/>
          </w:tcPr>
          <w:p>
            <w:r/>
            <w:r>
              <w:rPr>
                <w:sz w:val="15"/>
              </w:rPr>
              <w:t>70.0</w:t>
            </w:r>
          </w:p>
        </w:tc>
        <w:tc>
          <w:tcPr>
            <w:tcW w:type="dxa" w:w="997"/>
          </w:tcPr>
          <w:p>
            <w:r/>
            <w:r>
              <w:rPr>
                <w:sz w:val="15"/>
              </w:rPr>
              <w:t>77.0</w:t>
            </w:r>
          </w:p>
        </w:tc>
        <w:tc>
          <w:tcPr>
            <w:tcW w:type="dxa" w:w="997"/>
          </w:tcPr>
          <w:p>
            <w:r/>
            <w:r>
              <w:rPr>
                <w:sz w:val="15"/>
              </w:rPr>
              <w:t>86.0</w:t>
            </w:r>
          </w:p>
        </w:tc>
        <w:tc>
          <w:tcPr>
            <w:tcW w:type="dxa" w:w="997"/>
          </w:tcPr>
          <w:p>
            <w:r/>
            <w:r>
              <w:rPr>
                <w:sz w:val="15"/>
              </w:rPr>
              <w:t>98.5</w:t>
            </w:r>
          </w:p>
        </w:tc>
        <w:tc>
          <w:tcPr>
            <w:tcW w:type="dxa" w:w="997"/>
          </w:tcPr>
          <w:p>
            <w:r/>
            <w:r>
              <w:rPr>
                <w:sz w:val="15"/>
              </w:rPr>
              <w:t>104</w:t>
            </w:r>
          </w:p>
        </w:tc>
        <w:tc>
          <w:tcPr>
            <w:tcW w:type="dxa" w:w="997"/>
          </w:tcPr>
          <w:p>
            <w:r/>
            <w:r>
              <w:rPr>
                <w:sz w:val="15"/>
              </w:rPr>
              <w:t>100</w:t>
            </w:r>
          </w:p>
        </w:tc>
        <w:tc>
          <w:tcPr>
            <w:tcW w:type="dxa" w:w="997"/>
          </w:tcPr>
          <w:p>
            <w:r/>
            <w:r>
              <w:rPr>
                <w:sz w:val="15"/>
              </w:rPr>
              <w:t>99.8</w:t>
            </w:r>
          </w:p>
        </w:tc>
        <w:tc>
          <w:tcPr>
            <w:tcW w:type="dxa" w:w="997"/>
          </w:tcPr>
          <w:p>
            <w:r/>
            <w:r>
              <w:rPr>
                <w:sz w:val="15"/>
              </w:rPr>
              <w:t>86.0</w:t>
            </w:r>
          </w:p>
        </w:tc>
      </w:tr>
      <w:tr>
        <w:tc>
          <w:tcPr>
            <w:tcW w:type="dxa" w:w="997"/>
          </w:tcPr>
          <w:p>
            <w:r/>
            <w:r>
              <w:rPr>
                <w:sz w:val="15"/>
              </w:rPr>
              <w:t>Rendement (t/ha)</w:t>
            </w:r>
          </w:p>
        </w:tc>
        <w:tc>
          <w:tcPr>
            <w:tcW w:type="dxa" w:w="997"/>
          </w:tcPr>
          <w:p>
            <w:r/>
            <w:r>
              <w:rPr>
                <w:sz w:val="15"/>
              </w:rPr>
              <w:t>2.90</w:t>
            </w:r>
          </w:p>
        </w:tc>
        <w:tc>
          <w:tcPr>
            <w:tcW w:type="dxa" w:w="997"/>
          </w:tcPr>
          <w:p>
            <w:r/>
            <w:r>
              <w:rPr>
                <w:sz w:val="15"/>
              </w:rPr>
              <w:t>2.92</w:t>
            </w:r>
          </w:p>
        </w:tc>
        <w:tc>
          <w:tcPr>
            <w:tcW w:type="dxa" w:w="997"/>
          </w:tcPr>
          <w:p>
            <w:r/>
            <w:r>
              <w:rPr>
                <w:sz w:val="15"/>
              </w:rPr>
              <w:t>2.71</w:t>
            </w:r>
          </w:p>
        </w:tc>
        <w:tc>
          <w:tcPr>
            <w:tcW w:type="dxa" w:w="997"/>
          </w:tcPr>
          <w:p>
            <w:r/>
            <w:r>
              <w:rPr>
                <w:sz w:val="15"/>
              </w:rPr>
              <w:t>2.95</w:t>
            </w:r>
          </w:p>
        </w:tc>
        <w:tc>
          <w:tcPr>
            <w:tcW w:type="dxa" w:w="997"/>
          </w:tcPr>
          <w:p>
            <w:r/>
            <w:r>
              <w:rPr>
                <w:sz w:val="15"/>
              </w:rPr>
              <w:t>2.68</w:t>
            </w:r>
          </w:p>
        </w:tc>
        <w:tc>
          <w:tcPr>
            <w:tcW w:type="dxa" w:w="997"/>
          </w:tcPr>
          <w:p>
            <w:r/>
            <w:r>
              <w:rPr>
                <w:sz w:val="15"/>
              </w:rPr>
              <w:t>2.75</w:t>
            </w:r>
          </w:p>
        </w:tc>
        <w:tc>
          <w:tcPr>
            <w:tcW w:type="dxa" w:w="997"/>
          </w:tcPr>
          <w:p>
            <w:r/>
            <w:r>
              <w:rPr>
                <w:sz w:val="15"/>
              </w:rPr>
              <w:t>2.73</w:t>
            </w:r>
          </w:p>
        </w:tc>
        <w:tc>
          <w:tcPr>
            <w:tcW w:type="dxa" w:w="997"/>
          </w:tcPr>
          <w:p>
            <w:r/>
            <w:r>
              <w:rPr>
                <w:sz w:val="15"/>
              </w:rPr>
              <w:t>2.90</w:t>
            </w:r>
          </w:p>
        </w:tc>
        <w:tc>
          <w:tcPr>
            <w:tcW w:type="dxa" w:w="997"/>
          </w:tcPr>
          <w:p>
            <w:r/>
            <w:r>
              <w:rPr>
                <w:sz w:val="15"/>
              </w:rPr>
              <w:t>2.93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vietnam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1995/96 → 2025/26 : production +7.2 %/an = surface bearing +6.3 %/an + rendement +0.8 %/an (rendement implicite 39.2 → 50.3 sacs par ha bearing).</w:t>
      </w:r>
    </w:p>
    <w:p>
      <w:pPr>
        <w:pStyle w:val="Heading1"/>
      </w:pPr>
      <w:r>
        <w:t>5. Les déterminants du rendement, quantifiés</w:t>
      </w:r>
    </w:p>
    <w:p>
      <w:r>
        <w:rPr>
          <w:b w:val="0"/>
          <w:i w:val="0"/>
          <w:sz w:val="20"/>
        </w:rPr>
        <w:t>Tendance : le modèle ARIMA(0,1,1) avec dérive du rendement s'écrit ∇X_t = 0.04729 + ε_t − 0.711·ε_{t-1} ; ∇X_t = X_t − X_{t-1}. La dérive vaut +0.0473 par campagne.</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2005/06</w:t>
            </w:r>
          </w:p>
        </w:tc>
        <w:tc>
          <w:tcPr>
            <w:tcW w:type="dxa" w:w="1247"/>
          </w:tcPr>
          <w:p>
            <w:r/>
            <w:r>
              <w:rPr>
                <w:sz w:val="16"/>
              </w:rPr>
              <w:t>-19.3 %</w:t>
            </w:r>
          </w:p>
        </w:tc>
        <w:tc>
          <w:tcPr>
            <w:tcW w:type="dxa" w:w="1247"/>
          </w:tcPr>
          <w:p>
            <w:r/>
            <w:r>
              <w:rPr>
                <w:sz w:val="16"/>
              </w:rPr>
              <w:t>-4.0 %</w:t>
            </w:r>
          </w:p>
        </w:tc>
        <w:tc>
          <w:tcPr>
            <w:tcW w:type="dxa" w:w="1928"/>
          </w:tcPr>
          <w:p>
            <w:r/>
            <w:r>
              <w:rPr>
                <w:sz w:val="16"/>
              </w:rPr>
              <w:t>El Niño 2004/05 (+0.7)</w:t>
            </w:r>
          </w:p>
        </w:tc>
        <w:tc>
          <w:tcPr>
            <w:tcW w:type="dxa" w:w="4082"/>
          </w:tcPr>
          <w:p>
            <w:r/>
            <w:r>
              <w:rPr>
                <w:sz w:val="16"/>
              </w:rPr>
            </w:r>
          </w:p>
        </w:tc>
      </w:tr>
      <w:tr>
        <w:tc>
          <w:tcPr>
            <w:tcW w:type="dxa" w:w="1134"/>
          </w:tcPr>
          <w:p>
            <w:r/>
            <w:r>
              <w:rPr>
                <w:sz w:val="16"/>
              </w:rPr>
              <w:t>2004/05</w:t>
            </w:r>
          </w:p>
        </w:tc>
        <w:tc>
          <w:tcPr>
            <w:tcW w:type="dxa" w:w="1247"/>
          </w:tcPr>
          <w:p>
            <w:r/>
            <w:r>
              <w:rPr>
                <w:sz w:val="16"/>
              </w:rPr>
              <w:t>-13.0 %</w:t>
            </w:r>
          </w:p>
        </w:tc>
        <w:tc>
          <w:tcPr>
            <w:tcW w:type="dxa" w:w="1247"/>
          </w:tcPr>
          <w:p>
            <w:r/>
            <w:r>
              <w:rPr>
                <w:sz w:val="16"/>
              </w:rPr>
              <w:t>-2.2 %</w:t>
            </w:r>
          </w:p>
        </w:tc>
        <w:tc>
          <w:tcPr>
            <w:tcW w:type="dxa" w:w="1928"/>
          </w:tcPr>
          <w:p>
            <w:r/>
            <w:r>
              <w:rPr>
                <w:sz w:val="16"/>
              </w:rPr>
              <w:t>neutre 2003/04 (+0.4)</w:t>
            </w:r>
          </w:p>
        </w:tc>
        <w:tc>
          <w:tcPr>
            <w:tcW w:type="dxa" w:w="4082"/>
          </w:tcPr>
          <w:p>
            <w:r/>
            <w:r>
              <w:rPr>
                <w:sz w:val="16"/>
              </w:rPr>
            </w:r>
          </w:p>
        </w:tc>
      </w:tr>
      <w:tr>
        <w:tc>
          <w:tcPr>
            <w:tcW w:type="dxa" w:w="1134"/>
          </w:tcPr>
          <w:p>
            <w:r/>
            <w:r>
              <w:rPr>
                <w:sz w:val="16"/>
              </w:rPr>
              <w:t>2009/10</w:t>
            </w:r>
          </w:p>
        </w:tc>
        <w:tc>
          <w:tcPr>
            <w:tcW w:type="dxa" w:w="1247"/>
          </w:tcPr>
          <w:p>
            <w:r/>
            <w:r>
              <w:rPr>
                <w:sz w:val="16"/>
              </w:rPr>
              <w:t>-7.3 %</w:t>
            </w:r>
          </w:p>
        </w:tc>
        <w:tc>
          <w:tcPr>
            <w:tcW w:type="dxa" w:w="1247"/>
          </w:tcPr>
          <w:p>
            <w:r/>
            <w:r>
              <w:rPr>
                <w:sz w:val="16"/>
              </w:rPr>
              <w:t>-3.2 %</w:t>
            </w:r>
          </w:p>
        </w:tc>
        <w:tc>
          <w:tcPr>
            <w:tcW w:type="dxa" w:w="1928"/>
          </w:tcPr>
          <w:p>
            <w:r/>
            <w:r>
              <w:rPr>
                <w:sz w:val="16"/>
              </w:rPr>
              <w:t>La Niña 2008/09 (-0.8)</w:t>
            </w:r>
          </w:p>
        </w:tc>
        <w:tc>
          <w:tcPr>
            <w:tcW w:type="dxa" w:w="4082"/>
          </w:tcPr>
          <w:p>
            <w:r/>
            <w:r>
              <w:rPr>
                <w:sz w:val="16"/>
              </w:rPr>
            </w:r>
          </w:p>
        </w:tc>
      </w:tr>
      <w:tr>
        <w:tc>
          <w:tcPr>
            <w:tcW w:type="dxa" w:w="1134"/>
          </w:tcPr>
          <w:p>
            <w:r/>
            <w:r>
              <w:rPr>
                <w:sz w:val="16"/>
              </w:rPr>
              <w:t>2020/21</w:t>
            </w:r>
          </w:p>
        </w:tc>
        <w:tc>
          <w:tcPr>
            <w:tcW w:type="dxa" w:w="1247"/>
          </w:tcPr>
          <w:p>
            <w:r/>
            <w:r>
              <w:rPr>
                <w:sz w:val="16"/>
              </w:rPr>
              <w:t>-5.3 %</w:t>
            </w:r>
          </w:p>
        </w:tc>
        <w:tc>
          <w:tcPr>
            <w:tcW w:type="dxa" w:w="1247"/>
          </w:tcPr>
          <w:p>
            <w:r/>
            <w:r>
              <w:rPr>
                <w:sz w:val="16"/>
              </w:rPr>
              <w:t>-7.2 %</w:t>
            </w:r>
          </w:p>
        </w:tc>
        <w:tc>
          <w:tcPr>
            <w:tcW w:type="dxa" w:w="1928"/>
          </w:tcPr>
          <w:p>
            <w:r/>
            <w:r>
              <w:rPr>
                <w:sz w:val="16"/>
              </w:rPr>
              <w:t>neutre 2019/20 (+0.5)</w:t>
            </w:r>
          </w:p>
        </w:tc>
        <w:tc>
          <w:tcPr>
            <w:tcW w:type="dxa" w:w="4082"/>
          </w:tcPr>
          <w:p>
            <w:r/>
            <w:r>
              <w:rPr>
                <w:sz w:val="16"/>
              </w:rPr>
              <w:t>La Niña 2020-21 : bonnes réserves, 30,2 M sacs</w:t>
            </w:r>
          </w:p>
        </w:tc>
      </w:tr>
      <w:tr>
        <w:tc>
          <w:tcPr>
            <w:tcW w:type="dxa" w:w="1134"/>
          </w:tcPr>
          <w:p>
            <w:r/>
            <w:r>
              <w:rPr>
                <w:sz w:val="16"/>
              </w:rPr>
              <w:t>2006/07</w:t>
            </w:r>
          </w:p>
        </w:tc>
        <w:tc>
          <w:tcPr>
            <w:tcW w:type="dxa" w:w="1247"/>
          </w:tcPr>
          <w:p>
            <w:r/>
            <w:r>
              <w:rPr>
                <w:sz w:val="16"/>
              </w:rPr>
              <w:t>+31.5 %</w:t>
            </w:r>
          </w:p>
        </w:tc>
        <w:tc>
          <w:tcPr>
            <w:tcW w:type="dxa" w:w="1247"/>
          </w:tcPr>
          <w:p>
            <w:r/>
            <w:r>
              <w:rPr>
                <w:sz w:val="16"/>
              </w:rPr>
              <w:t>+52.7 %</w:t>
            </w:r>
          </w:p>
        </w:tc>
        <w:tc>
          <w:tcPr>
            <w:tcW w:type="dxa" w:w="1928"/>
          </w:tcPr>
          <w:p>
            <w:r/>
            <w:r>
              <w:rPr>
                <w:sz w:val="16"/>
              </w:rPr>
              <w:t>La Niña 2005/06 (-0.9)</w:t>
            </w:r>
          </w:p>
        </w:tc>
        <w:tc>
          <w:tcPr>
            <w:tcW w:type="dxa" w:w="4082"/>
          </w:tcPr>
          <w:p>
            <w:r/>
            <w:r>
              <w:rPr>
                <w:sz w:val="16"/>
              </w:rPr>
            </w:r>
          </w:p>
        </w:tc>
      </w:tr>
      <w:tr>
        <w:tc>
          <w:tcPr>
            <w:tcW w:type="dxa" w:w="1134"/>
          </w:tcPr>
          <w:p>
            <w:r/>
            <w:r>
              <w:rPr>
                <w:sz w:val="16"/>
              </w:rPr>
              <w:t>2013/14</w:t>
            </w:r>
          </w:p>
        </w:tc>
        <w:tc>
          <w:tcPr>
            <w:tcW w:type="dxa" w:w="1247"/>
          </w:tcPr>
          <w:p>
            <w:r/>
            <w:r>
              <w:rPr>
                <w:sz w:val="16"/>
              </w:rPr>
              <w:t>+7.2 %</w:t>
            </w:r>
          </w:p>
        </w:tc>
        <w:tc>
          <w:tcPr>
            <w:tcW w:type="dxa" w:w="1247"/>
          </w:tcPr>
          <w:p>
            <w:r/>
            <w:r>
              <w:rPr>
                <w:sz w:val="16"/>
              </w:rPr>
              <w:t>+8.9 %</w:t>
            </w:r>
          </w:p>
        </w:tc>
        <w:tc>
          <w:tcPr>
            <w:tcW w:type="dxa" w:w="1928"/>
          </w:tcPr>
          <w:p>
            <w:r/>
            <w:r>
              <w:rPr>
                <w:sz w:val="16"/>
              </w:rPr>
              <w:t>neutre 2012/13 (-0.2)</w:t>
            </w:r>
          </w:p>
        </w:tc>
        <w:tc>
          <w:tcPr>
            <w:tcW w:type="dxa" w:w="4082"/>
          </w:tcPr>
          <w:p>
            <w:r/>
            <w:r>
              <w:rPr>
                <w:sz w:val="16"/>
              </w:rPr>
              <w:t>campagne record 2013/14 (30,5 M) : pluies abondantes et vergers jeunes</w:t>
            </w:r>
          </w:p>
        </w:tc>
      </w:tr>
      <w:tr>
        <w:tc>
          <w:tcPr>
            <w:tcW w:type="dxa" w:w="1134"/>
          </w:tcPr>
          <w:p>
            <w:r/>
            <w:r>
              <w:rPr>
                <w:sz w:val="16"/>
              </w:rPr>
              <w:t>2021/22</w:t>
            </w:r>
          </w:p>
        </w:tc>
        <w:tc>
          <w:tcPr>
            <w:tcW w:type="dxa" w:w="1247"/>
          </w:tcPr>
          <w:p>
            <w:r/>
            <w:r>
              <w:rPr>
                <w:sz w:val="16"/>
              </w:rPr>
              <w:t>+6.7 %</w:t>
            </w:r>
          </w:p>
        </w:tc>
        <w:tc>
          <w:tcPr>
            <w:tcW w:type="dxa" w:w="1247"/>
          </w:tcPr>
          <w:p>
            <w:r/>
            <w:r>
              <w:rPr>
                <w:sz w:val="16"/>
              </w:rPr>
              <w:t>+8.9 %</w:t>
            </w:r>
          </w:p>
        </w:tc>
        <w:tc>
          <w:tcPr>
            <w:tcW w:type="dxa" w:w="1928"/>
          </w:tcPr>
          <w:p>
            <w:r/>
            <w:r>
              <w:rPr>
                <w:sz w:val="16"/>
              </w:rPr>
              <w:t>La Niña 2020/21 (-1.3)</w:t>
            </w:r>
          </w:p>
        </w:tc>
        <w:tc>
          <w:tcPr>
            <w:tcW w:type="dxa" w:w="4082"/>
          </w:tcPr>
          <w:p>
            <w:r/>
            <w:r>
              <w:rPr>
                <w:sz w:val="16"/>
              </w:rPr>
            </w:r>
          </w:p>
        </w:tc>
      </w:tr>
    </w:tbl>
    <w:p/>
    <w:p>
      <w:r>
        <w:rPr>
          <w:b w:val="0"/>
          <w:i w:val="0"/>
          <w:sz w:val="20"/>
        </w:rPr>
        <w:t>Sur 29 campagnes, 16 ont une production sous la moyenne de leurs voisines ; écart-type des écarts 15.7 %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affaiblit la mousson et allonge la saison sèche des Hauts Plateaux ; les réservoirs se vident, l'irrigation de février-avril est rationnée, les températures montent (sécheresses de 1998, 2005, 2016 et 2024). La Niña apporte des pluies plus abondantes, de bonnes réserves d'eau mais des typhons et un séchage difficile à la récolte. Pour le robusta irrigué, El Niño est nettement négatif (nouaison et calibre), La Niña plutôt positif.</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vietnam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-3.5 %</w:t>
            </w:r>
          </w:p>
        </w:tc>
        <w:tc>
          <w:tcPr>
            <w:tcW w:type="dxa" w:w="1134"/>
          </w:tcPr>
          <w:p>
            <w:r/>
            <w:r>
              <w:rPr>
                <w:sz w:val="15"/>
              </w:rPr>
              <w:t>100 %</w:t>
            </w:r>
          </w:p>
        </w:tc>
        <w:tc>
          <w:tcPr>
            <w:tcW w:type="dxa" w:w="1361"/>
          </w:tcPr>
          <w:p>
            <w:r/>
            <w:r>
              <w:rPr>
                <w:sz w:val="15"/>
              </w:rPr>
              <w:t>-5.7 %</w:t>
            </w:r>
          </w:p>
        </w:tc>
        <w:tc>
          <w:tcPr>
            <w:tcW w:type="dxa" w:w="3402"/>
          </w:tcPr>
          <w:p>
            <w:r/>
            <w:r>
              <w:rPr>
                <w:sz w:val="15"/>
              </w:rPr>
              <w:t>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-3.2 %</w:t>
            </w:r>
          </w:p>
        </w:tc>
        <w:tc>
          <w:tcPr>
            <w:tcW w:type="dxa" w:w="1134"/>
          </w:tcPr>
          <w:p>
            <w:r/>
            <w:r>
              <w:rPr>
                <w:sz w:val="15"/>
              </w:rPr>
              <w:t>71 %</w:t>
            </w:r>
          </w:p>
        </w:tc>
        <w:tc>
          <w:tcPr>
            <w:tcW w:type="dxa" w:w="1361"/>
          </w:tcPr>
          <w:p>
            <w:r/>
            <w:r>
              <w:rPr>
                <w:sz w:val="15"/>
              </w:rPr>
              <w:t>-4.5 %</w:t>
            </w:r>
          </w:p>
        </w:tc>
        <w:tc>
          <w:tcPr>
            <w:tcW w:type="dxa" w:w="3402"/>
          </w:tcPr>
          <w:p>
            <w:r/>
            <w:r>
              <w:rPr>
                <w:sz w:val="15"/>
              </w:rPr>
              <w:t>2005/06 2007/08 2010/11 2015/16 2016/17 2019/20 2024/25</w:t>
            </w:r>
          </w:p>
        </w:tc>
      </w:tr>
      <w:tr>
        <w:tc>
          <w:tcPr>
            <w:tcW w:type="dxa" w:w="1814"/>
          </w:tcPr>
          <w:p>
            <w:r/>
            <w:r>
              <w:rPr>
                <w:sz w:val="15"/>
              </w:rPr>
              <w:t>neutre</w:t>
            </w:r>
          </w:p>
        </w:tc>
        <w:tc>
          <w:tcPr>
            <w:tcW w:type="dxa" w:w="567"/>
          </w:tcPr>
          <w:p>
            <w:r/>
            <w:r>
              <w:rPr>
                <w:sz w:val="15"/>
              </w:rPr>
              <w:t>4</w:t>
            </w:r>
          </w:p>
        </w:tc>
        <w:tc>
          <w:tcPr>
            <w:tcW w:type="dxa" w:w="1361"/>
          </w:tcPr>
          <w:p>
            <w:r/>
            <w:r>
              <w:rPr>
                <w:sz w:val="15"/>
              </w:rPr>
              <w:t>-3.6 %</w:t>
            </w:r>
          </w:p>
        </w:tc>
        <w:tc>
          <w:tcPr>
            <w:tcW w:type="dxa" w:w="1134"/>
          </w:tcPr>
          <w:p>
            <w:r/>
            <w:r>
              <w:rPr>
                <w:sz w:val="15"/>
              </w:rPr>
              <w:t>75 %</w:t>
            </w:r>
          </w:p>
        </w:tc>
        <w:tc>
          <w:tcPr>
            <w:tcW w:type="dxa" w:w="1361"/>
          </w:tcPr>
          <w:p>
            <w:r/>
            <w:r>
              <w:rPr>
                <w:sz w:val="15"/>
              </w:rPr>
              <w:t>-4.0 %</w:t>
            </w:r>
          </w:p>
        </w:tc>
        <w:tc>
          <w:tcPr>
            <w:tcW w:type="dxa" w:w="3402"/>
          </w:tcPr>
          <w:p>
            <w:r/>
            <w:r>
              <w:rPr>
                <w:sz w:val="15"/>
              </w:rPr>
              <w:t>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+3.0 %</w:t>
            </w:r>
          </w:p>
        </w:tc>
        <w:tc>
          <w:tcPr>
            <w:tcW w:type="dxa" w:w="1134"/>
          </w:tcPr>
          <w:p>
            <w:r/>
            <w:r>
              <w:rPr>
                <w:sz w:val="15"/>
              </w:rPr>
              <w:t>40 %</w:t>
            </w:r>
          </w:p>
        </w:tc>
        <w:tc>
          <w:tcPr>
            <w:tcW w:type="dxa" w:w="1361"/>
          </w:tcPr>
          <w:p>
            <w:r/>
            <w:r>
              <w:rPr>
                <w:sz w:val="15"/>
              </w:rPr>
              <w:t>+4.8 %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+0.8 %</w:t>
            </w:r>
          </w:p>
        </w:tc>
        <w:tc>
          <w:tcPr>
            <w:tcW w:type="dxa" w:w="1134"/>
          </w:tcPr>
          <w:p>
            <w:r/>
            <w:r>
              <w:rPr>
                <w:sz w:val="15"/>
              </w:rPr>
              <w:t>43 %</w:t>
            </w:r>
          </w:p>
        </w:tc>
        <w:tc>
          <w:tcPr>
            <w:tcW w:type="dxa" w:w="1361"/>
          </w:tcPr>
          <w:p>
            <w:r/>
            <w:r>
              <w:rPr>
                <w:sz w:val="15"/>
              </w:rPr>
              <w:t>+5.6 %</w:t>
            </w:r>
          </w:p>
        </w:tc>
        <w:tc>
          <w:tcPr>
            <w:tcW w:type="dxa" w:w="3402"/>
          </w:tcPr>
          <w:p>
            <w:r/>
            <w:r>
              <w:rPr>
                <w:sz w:val="15"/>
              </w:rPr>
              <w:t>2008/09 2011/12 2012/13 2018/19 2021/22 2022/23 2023/24</w:t>
            </w:r>
          </w:p>
        </w:tc>
      </w:tr>
    </w:tbl>
    <w:p/>
    <w:p>
      <w:r>
        <w:rPr>
          <w:b w:val="0"/>
          <w:i w:val="0"/>
          <w:sz w:val="20"/>
        </w:rPr>
        <w:t>Lecture : pour Vietnam, El Niño est historiquement négatif pour le rendement (-3.2 %) et La Niña positif (+3.0 %).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33 262 ; avec l'effet El Niño moyen (-4.5 %) : 31 778 ; avec l'effet des El Niño forts (-5.7 %) : 31 356 (milliers de sacs).</w:t>
      </w:r>
    </w:p>
    <w:p>
      <w:pPr>
        <w:pStyle w:val="Heading1"/>
      </w:pPr>
      <w:r>
        <w:t>7. Prévision</w:t>
      </w:r>
    </w:p>
    <w:p>
      <w:r>
        <w:rPr>
          <w:b w:val="0"/>
          <w:i w:val="0"/>
          <w:sz w:val="20"/>
        </w:rPr>
        <w:t>Modèle ARMA retenu pour Production Total : ARIMA(0,1,1) + dérive, équation ∇X_t = 922 + ε_t − 0.373·ε_{t-1} ; ∇X_t = X_t − X_{t-1}. Backtest sur les 3 dernières campagnes : erreur moyenne 3.3 % contre 11.2 %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33 262</w:t>
            </w:r>
          </w:p>
        </w:tc>
        <w:tc>
          <w:tcPr>
            <w:tcW w:type="dxa" w:w="2268"/>
          </w:tcPr>
          <w:p>
            <w:r/>
            <w:r>
              <w:rPr>
                <w:sz w:val="17"/>
              </w:rPr>
              <w:t>29 848 – 36 675</w:t>
            </w:r>
          </w:p>
        </w:tc>
        <w:tc>
          <w:tcPr>
            <w:tcW w:type="dxa" w:w="2268"/>
          </w:tcPr>
          <w:p>
            <w:r/>
            <w:r>
              <w:rPr>
                <w:sz w:val="17"/>
              </w:rPr>
              <w:t>28 041 – 38 482</w:t>
            </w:r>
          </w:p>
        </w:tc>
      </w:tr>
      <w:tr>
        <w:tc>
          <w:tcPr>
            <w:tcW w:type="dxa" w:w="1701"/>
          </w:tcPr>
          <w:p>
            <w:r/>
            <w:r>
              <w:rPr>
                <w:sz w:val="17"/>
              </w:rPr>
              <w:t>2028/29</w:t>
            </w:r>
          </w:p>
        </w:tc>
        <w:tc>
          <w:tcPr>
            <w:tcW w:type="dxa" w:w="1701"/>
          </w:tcPr>
          <w:p>
            <w:r/>
            <w:r>
              <w:rPr>
                <w:sz w:val="17"/>
              </w:rPr>
              <w:t>34 184</w:t>
            </w:r>
          </w:p>
        </w:tc>
        <w:tc>
          <w:tcPr>
            <w:tcW w:type="dxa" w:w="2268"/>
          </w:tcPr>
          <w:p>
            <w:r/>
            <w:r>
              <w:rPr>
                <w:sz w:val="17"/>
              </w:rPr>
              <w:t>30 155 – 38 212</w:t>
            </w:r>
          </w:p>
        </w:tc>
        <w:tc>
          <w:tcPr>
            <w:tcW w:type="dxa" w:w="2268"/>
          </w:tcPr>
          <w:p>
            <w:r/>
            <w:r>
              <w:rPr>
                <w:sz w:val="17"/>
              </w:rPr>
              <w:t>28 023 – 40 344</w:t>
            </w:r>
          </w:p>
        </w:tc>
      </w:tr>
      <w:tr>
        <w:tc>
          <w:tcPr>
            <w:tcW w:type="dxa" w:w="1701"/>
          </w:tcPr>
          <w:p>
            <w:r/>
            <w:r>
              <w:rPr>
                <w:sz w:val="17"/>
              </w:rPr>
              <w:t>2029/30</w:t>
            </w:r>
          </w:p>
        </w:tc>
        <w:tc>
          <w:tcPr>
            <w:tcW w:type="dxa" w:w="1701"/>
          </w:tcPr>
          <w:p>
            <w:r/>
            <w:r>
              <w:rPr>
                <w:sz w:val="17"/>
              </w:rPr>
              <w:t>35 106</w:t>
            </w:r>
          </w:p>
        </w:tc>
        <w:tc>
          <w:tcPr>
            <w:tcW w:type="dxa" w:w="2268"/>
          </w:tcPr>
          <w:p>
            <w:r/>
            <w:r>
              <w:rPr>
                <w:sz w:val="17"/>
              </w:rPr>
              <w:t>30 545 – 39 666</w:t>
            </w:r>
          </w:p>
        </w:tc>
        <w:tc>
          <w:tcPr>
            <w:tcW w:type="dxa" w:w="2268"/>
          </w:tcPr>
          <w:p>
            <w:r/>
            <w:r>
              <w:rPr>
                <w:sz w:val="17"/>
              </w:rPr>
              <w:t>28 130 – 42 081</w:t>
            </w:r>
          </w:p>
        </w:tc>
      </w:tr>
      <w:tr>
        <w:tc>
          <w:tcPr>
            <w:tcW w:type="dxa" w:w="1701"/>
          </w:tcPr>
          <w:p>
            <w:r/>
            <w:r>
              <w:rPr>
                <w:sz w:val="17"/>
              </w:rPr>
              <w:t>2030/31</w:t>
            </w:r>
          </w:p>
        </w:tc>
        <w:tc>
          <w:tcPr>
            <w:tcW w:type="dxa" w:w="1701"/>
          </w:tcPr>
          <w:p>
            <w:r/>
            <w:r>
              <w:rPr>
                <w:sz w:val="17"/>
              </w:rPr>
              <w:t>36 028</w:t>
            </w:r>
          </w:p>
        </w:tc>
        <w:tc>
          <w:tcPr>
            <w:tcW w:type="dxa" w:w="2268"/>
          </w:tcPr>
          <w:p>
            <w:r/>
            <w:r>
              <w:rPr>
                <w:sz w:val="17"/>
              </w:rPr>
              <w:t>30 990 – 41 065</w:t>
            </w:r>
          </w:p>
        </w:tc>
        <w:tc>
          <w:tcPr>
            <w:tcW w:type="dxa" w:w="2268"/>
          </w:tcPr>
          <w:p>
            <w:r/>
            <w:r>
              <w:rPr>
                <w:sz w:val="17"/>
              </w:rPr>
              <w:t>28 324 – 43 732</w:t>
            </w:r>
          </w:p>
        </w:tc>
      </w:tr>
      <w:tr>
        <w:tc>
          <w:tcPr>
            <w:tcW w:type="dxa" w:w="1701"/>
          </w:tcPr>
          <w:p>
            <w:r/>
            <w:r>
              <w:rPr>
                <w:sz w:val="17"/>
              </w:rPr>
              <w:t>2031/32</w:t>
            </w:r>
          </w:p>
        </w:tc>
        <w:tc>
          <w:tcPr>
            <w:tcW w:type="dxa" w:w="1701"/>
          </w:tcPr>
          <w:p>
            <w:r/>
            <w:r>
              <w:rPr>
                <w:sz w:val="17"/>
              </w:rPr>
              <w:t>36 950</w:t>
            </w:r>
          </w:p>
        </w:tc>
        <w:tc>
          <w:tcPr>
            <w:tcW w:type="dxa" w:w="2268"/>
          </w:tcPr>
          <w:p>
            <w:r/>
            <w:r>
              <w:rPr>
                <w:sz w:val="17"/>
              </w:rPr>
              <w:t>31 477 – 42 422</w:t>
            </w:r>
          </w:p>
        </w:tc>
        <w:tc>
          <w:tcPr>
            <w:tcW w:type="dxa" w:w="2268"/>
          </w:tcPr>
          <w:p>
            <w:r/>
            <w:r>
              <w:rPr>
                <w:sz w:val="17"/>
              </w:rPr>
              <w:t>28 580 – 45 319</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Vietnam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