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Colombie : balance sheet café, de la météo au rendement et à la production</w:t>
      </w:r>
    </w:p>
    <w:p>
      <w:r>
        <w:rPr>
          <w:b w:val="0"/>
          <w:i/>
          <w:color w:val="52514E"/>
          <w:sz w:val="18"/>
        </w:rPr>
        <w:t>Au 16 septembre 2026. Source des chiffres : balance sheet (onglet Colombia), USDA. Classification ENSO : official ONI/RONI table /home/user/procafe/timeseries/data/oni.csv.</w:t>
      </w:r>
    </w:p>
    <w:p>
      <w:r>
        <w:rPr>
          <w:b w:val="0"/>
          <w:i w:val="0"/>
          <w:sz w:val="18"/>
        </w:rPr>
        <w:t>Deux sources dans la balance sheet : USDA (surfaces et arbres en paliers) et Fedecafé/Agronet (surfaces réelles, rendement).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8 525 à 12 500 (+2.6 % par an) : surface bearing +0.0 % par an, rendement +2.6 % par an. Le rendement fait la croissance.</w:t>
      </w:r>
    </w:p>
    <w:p>
      <w:pPr>
        <w:pStyle w:val="ListBullet"/>
      </w:pPr>
      <w:r>
        <w:rPr>
          <w:sz w:val="20"/>
        </w:rPr>
        <w:t>El Niño : rendement en moyenne +1.8 % par rapport aux campagnes voisines sur 8 campagnes (25 % d'entre elles sous la moyenne) ; El Niño fort : +1.2 % (5 campagnes, 20 % sous la moyenne). La Niña : -0.9 % (14 campagnes).</w:t>
      </w:r>
    </w:p>
    <w:p>
      <w:pPr>
        <w:pStyle w:val="ListBullet"/>
      </w:pPr>
      <w:r>
        <w:rPr>
          <w:sz w:val="20"/>
        </w:rPr>
        <w:t>L'El Niño en cours pilote donc la campagne 2026/27.</w:t>
      </w:r>
    </w:p>
    <w:p>
      <w:pPr>
        <w:pStyle w:val="ListBullet"/>
      </w:pPr>
      <w:r>
        <w:rPr>
          <w:sz w:val="20"/>
        </w:rPr>
        <w:t>Prévision Production Arabica 2027/28 : 13 400 (intervalle 80 % 11 682 – 15 118) par le modèle ARMA ; avec l'effet El Niño historique moyen (+1.4 %) : 13 588.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15306"/>
            <wp:docPr id="1" name="Picture 1"/>
            <wp:cNvGraphicFramePr>
              <a:graphicFrameLocks noChangeAspect="1"/>
            </wp:cNvGraphicFramePr>
            <a:graphic>
              <a:graphicData uri="http://schemas.openxmlformats.org/drawingml/2006/picture">
                <pic:pic>
                  <pic:nvPicPr>
                    <pic:cNvPr id="0" name="colombia_chain.png"/>
                    <pic:cNvPicPr/>
                  </pic:nvPicPr>
                  <pic:blipFill>
                    <a:blip r:embed="rId9"/>
                    <a:stretch>
                      <a:fillRect/>
                    </a:stretch>
                  </pic:blipFill>
                  <pic:spPr>
                    <a:xfrm>
                      <a:off x="0" y="0"/>
                      <a:ext cx="5760000" cy="281530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Huila, Antioquia, Tolima, Cauca, Caldas, Quindío, Risaralda, Santander, Nariño (zone andine, 1 200-2 000 m).</w:t>
      </w:r>
    </w:p>
    <w:p>
      <w:pPr>
        <w:jc w:val="center"/>
      </w:pPr>
      <w:r>
        <w:drawing>
          <wp:inline xmlns:a="http://schemas.openxmlformats.org/drawingml/2006/main" xmlns:pic="http://schemas.openxmlformats.org/drawingml/2006/picture">
            <wp:extent cx="5760000" cy="1891698"/>
            <wp:docPr id="2" name="Picture 2"/>
            <wp:cNvGraphicFramePr>
              <a:graphicFrameLocks noChangeAspect="1"/>
            </wp:cNvGraphicFramePr>
            <a:graphic>
              <a:graphicData uri="http://schemas.openxmlformats.org/drawingml/2006/picture">
                <pic:pic>
                  <pic:nvPicPr>
                    <pic:cNvPr id="0" name="colombia_calendar.png"/>
                    <pic:cNvPicPr/>
                  </pic:nvPicPr>
                  <pic:blipFill>
                    <a:blip r:embed="rId10"/>
                    <a:stretch>
                      <a:fillRect/>
                    </a:stretch>
                  </pic:blipFill>
                  <pic:spPr>
                    <a:xfrm>
                      <a:off x="0" y="0"/>
                      <a:ext cx="5760000" cy="189169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oct.-déc. de Y, mitaca avril-juin de Y+1) dépend de la floraison de janv.-mars Y et des pluies de l'année Y : c'est l'épisode qui se développe pendant Y et culmine en déc.-fév. Y/Y+1 qui compte.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13 870</w:t>
            </w:r>
          </w:p>
        </w:tc>
        <w:tc>
          <w:tcPr>
            <w:tcW w:type="dxa" w:w="997"/>
          </w:tcPr>
          <w:p>
            <w:r/>
            <w:r>
              <w:rPr>
                <w:sz w:val="15"/>
              </w:rPr>
              <w:t>14 100</w:t>
            </w:r>
          </w:p>
        </w:tc>
        <w:tc>
          <w:tcPr>
            <w:tcW w:type="dxa" w:w="997"/>
          </w:tcPr>
          <w:p>
            <w:r/>
            <w:r>
              <w:rPr>
                <w:sz w:val="15"/>
              </w:rPr>
              <w:t>13 400</w:t>
            </w:r>
          </w:p>
        </w:tc>
        <w:tc>
          <w:tcPr>
            <w:tcW w:type="dxa" w:w="997"/>
          </w:tcPr>
          <w:p>
            <w:r/>
            <w:r>
              <w:rPr>
                <w:sz w:val="15"/>
              </w:rPr>
              <w:t>11 800</w:t>
            </w:r>
          </w:p>
        </w:tc>
        <w:tc>
          <w:tcPr>
            <w:tcW w:type="dxa" w:w="997"/>
          </w:tcPr>
          <w:p>
            <w:r/>
            <w:r>
              <w:rPr>
                <w:sz w:val="15"/>
              </w:rPr>
              <w:t>10 700</w:t>
            </w:r>
          </w:p>
        </w:tc>
        <w:tc>
          <w:tcPr>
            <w:tcW w:type="dxa" w:w="997"/>
          </w:tcPr>
          <w:p>
            <w:r/>
            <w:r>
              <w:rPr>
                <w:sz w:val="15"/>
              </w:rPr>
              <w:t>12 760</w:t>
            </w:r>
          </w:p>
        </w:tc>
        <w:tc>
          <w:tcPr>
            <w:tcW w:type="dxa" w:w="997"/>
          </w:tcPr>
          <w:p>
            <w:r/>
            <w:r>
              <w:rPr>
                <w:sz w:val="15"/>
              </w:rPr>
              <w:t>14 800</w:t>
            </w:r>
          </w:p>
        </w:tc>
        <w:tc>
          <w:tcPr>
            <w:tcW w:type="dxa" w:w="997"/>
          </w:tcPr>
          <w:p>
            <w:r/>
            <w:r>
              <w:rPr>
                <w:sz w:val="15"/>
              </w:rPr>
              <w:t>12 500</w:t>
            </w:r>
          </w:p>
        </w:tc>
        <w:tc>
          <w:tcPr>
            <w:tcW w:type="dxa" w:w="997"/>
          </w:tcPr>
          <w:p>
            <w:r/>
            <w:r>
              <w:rPr>
                <w:sz w:val="15"/>
              </w:rPr>
              <w:t>13 400</w:t>
            </w:r>
          </w:p>
        </w:tc>
      </w:tr>
      <w:tr>
        <w:tc>
          <w:tcPr>
            <w:tcW w:type="dxa" w:w="997"/>
          </w:tcPr>
          <w:p>
            <w:r/>
            <w:r>
              <w:rPr>
                <w:sz w:val="15"/>
              </w:rPr>
              <w:t>Surface totale (1000 ha)</w:t>
            </w:r>
          </w:p>
        </w:tc>
        <w:tc>
          <w:tcPr>
            <w:tcW w:type="dxa" w:w="997"/>
          </w:tcPr>
          <w:p>
            <w:r/>
            <w:r>
              <w:rPr>
                <w:sz w:val="15"/>
              </w:rPr>
              <w:t>780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r>
      <w:tr>
        <w:tc>
          <w:tcPr>
            <w:tcW w:type="dxa" w:w="997"/>
          </w:tcPr>
          <w:p>
            <w:r/>
            <w:r>
              <w:rPr>
                <w:sz w:val="15"/>
              </w:rPr>
              <w:t>Surface bearing (1000 ha)</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r>
      <w:tr>
        <w:tc>
          <w:tcPr>
            <w:tcW w:type="dxa" w:w="997"/>
          </w:tcPr>
          <w:p>
            <w:r/>
            <w:r>
              <w:rPr>
                <w:sz w:val="15"/>
              </w:rPr>
              <w:t>Surface non-bearing (1000 ha)</w:t>
            </w:r>
          </w:p>
        </w:tc>
        <w:tc>
          <w:tcPr>
            <w:tcW w:type="dxa" w:w="997"/>
          </w:tcPr>
          <w:p>
            <w:r/>
            <w:r>
              <w:rPr>
                <w:sz w:val="15"/>
              </w:rPr>
              <w:t>140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r>
      <w:tr>
        <w:tc>
          <w:tcPr>
            <w:tcW w:type="dxa" w:w="997"/>
          </w:tcPr>
          <w:p>
            <w:r/>
            <w:r>
              <w:rPr>
                <w:sz w:val="15"/>
              </w:rPr>
              <w:t>Arbres (M) (million trees)</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r>
      <w:tr>
        <w:tc>
          <w:tcPr>
            <w:tcW w:type="dxa" w:w="997"/>
          </w:tcPr>
          <w:p>
            <w:r/>
            <w:r>
              <w:rPr>
                <w:sz w:val="15"/>
              </w:rPr>
              <w:t>Arbres bearing (M) (million trees)</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r>
      <w:tr>
        <w:tc>
          <w:tcPr>
            <w:tcW w:type="dxa" w:w="997"/>
          </w:tcPr>
          <w:p>
            <w:r/>
            <w:r>
              <w:rPr>
                <w:sz w:val="15"/>
              </w:rPr>
              <w:t>Arbres non-bearing (M) (million trees)</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r>
      <w:tr>
        <w:tc>
          <w:tcPr>
            <w:tcW w:type="dxa" w:w="997"/>
          </w:tcPr>
          <w:p>
            <w:r/>
            <w:r>
              <w:rPr>
                <w:sz w:val="15"/>
              </w:rPr>
              <w:t>Rendement (bags/ha)</w:t>
            </w:r>
          </w:p>
        </w:tc>
        <w:tc>
          <w:tcPr>
            <w:tcW w:type="dxa" w:w="997"/>
          </w:tcPr>
          <w:p>
            <w:r/>
            <w:r>
              <w:rPr>
                <w:sz w:val="15"/>
              </w:rPr>
              <w:t>17.8</w:t>
            </w:r>
          </w:p>
        </w:tc>
        <w:tc>
          <w:tcPr>
            <w:tcW w:type="dxa" w:w="997"/>
          </w:tcPr>
          <w:p>
            <w:r/>
            <w:r>
              <w:rPr>
                <w:sz w:val="15"/>
              </w:rPr>
              <w:t>17.6</w:t>
            </w:r>
          </w:p>
        </w:tc>
        <w:tc>
          <w:tcPr>
            <w:tcW w:type="dxa" w:w="997"/>
          </w:tcPr>
          <w:p>
            <w:r/>
            <w:r>
              <w:rPr>
                <w:sz w:val="15"/>
              </w:rPr>
              <w:t>16.8</w:t>
            </w:r>
          </w:p>
        </w:tc>
        <w:tc>
          <w:tcPr>
            <w:tcW w:type="dxa" w:w="997"/>
          </w:tcPr>
          <w:p>
            <w:r/>
            <w:r>
              <w:rPr>
                <w:sz w:val="15"/>
              </w:rPr>
              <w:t>14.8</w:t>
            </w:r>
          </w:p>
        </w:tc>
        <w:tc>
          <w:tcPr>
            <w:tcW w:type="dxa" w:w="997"/>
          </w:tcPr>
          <w:p>
            <w:r/>
            <w:r>
              <w:rPr>
                <w:sz w:val="15"/>
              </w:rPr>
              <w:t>13.4</w:t>
            </w:r>
          </w:p>
        </w:tc>
        <w:tc>
          <w:tcPr>
            <w:tcW w:type="dxa" w:w="997"/>
          </w:tcPr>
          <w:p>
            <w:r/>
            <w:r>
              <w:rPr>
                <w:sz w:val="15"/>
              </w:rPr>
              <w:t>15.9</w:t>
            </w:r>
          </w:p>
        </w:tc>
        <w:tc>
          <w:tcPr>
            <w:tcW w:type="dxa" w:w="997"/>
          </w:tcPr>
          <w:p>
            <w:r/>
            <w:r>
              <w:rPr>
                <w:sz w:val="15"/>
              </w:rPr>
              <w:t>18.5</w:t>
            </w:r>
          </w:p>
        </w:tc>
        <w:tc>
          <w:tcPr>
            <w:tcW w:type="dxa" w:w="997"/>
          </w:tcPr>
          <w:p>
            <w:r/>
            <w:r>
              <w:rPr>
                <w:sz w:val="15"/>
              </w:rPr>
              <w:t>15.6</w:t>
            </w:r>
          </w:p>
        </w:tc>
        <w:tc>
          <w:tcPr>
            <w:tcW w:type="dxa" w:w="997"/>
          </w:tcPr>
          <w:p>
            <w:r/>
            <w:r>
              <w:rPr>
                <w:sz w:val="15"/>
              </w:rPr>
              <w:t>16.8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colomb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+0.0 %/an + rendement +2.6 %/an (rendement implicite 13.3 → 19.5 sacs par ha bearing).</w:t>
      </w:r>
    </w:p>
    <w:p>
      <w:r>
        <w:rPr>
          <w:b w:val="0"/>
          <w:i w:val="0"/>
          <w:sz w:val="20"/>
        </w:rPr>
        <w:t>Stock d'arbres : part non-bearing (arbres jeunes, futur potentiel) 22 % en 2026/27 contre 16 % en 1998/99 (moyenne 24 %).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ARIMA(0,1,0) du rendement s'écrit ∇X_t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2011/12</w:t>
            </w:r>
          </w:p>
        </w:tc>
        <w:tc>
          <w:tcPr>
            <w:tcW w:type="dxa" w:w="1247"/>
          </w:tcPr>
          <w:p>
            <w:r/>
            <w:r>
              <w:rPr>
                <w:sz w:val="16"/>
              </w:rPr>
              <w:t>-20.7 %</w:t>
            </w:r>
          </w:p>
        </w:tc>
        <w:tc>
          <w:tcPr>
            <w:tcW w:type="dxa" w:w="1247"/>
          </w:tcPr>
          <w:p>
            <w:r/>
            <w:r>
              <w:rPr>
                <w:sz w:val="16"/>
              </w:rPr>
              <w:t>-10.2 %</w:t>
            </w:r>
          </w:p>
        </w:tc>
        <w:tc>
          <w:tcPr>
            <w:tcW w:type="dxa" w:w="1928"/>
          </w:tcPr>
          <w:p>
            <w:r/>
            <w:r>
              <w:rPr>
                <w:sz w:val="16"/>
              </w:rPr>
              <w:t>La Niña 2011/12 (-1.0)</w:t>
            </w:r>
          </w:p>
        </w:tc>
        <w:tc>
          <w:tcPr>
            <w:tcW w:type="dxa" w:w="4082"/>
          </w:tcPr>
          <w:p>
            <w:r/>
            <w:r>
              <w:rPr>
                <w:sz w:val="16"/>
              </w:rPr>
              <w:t>La Niña forte 2010-12 : roya, floraison dispersée, 7,7 M sacs, plus bas de la période</w:t>
            </w:r>
          </w:p>
        </w:tc>
      </w:tr>
      <w:tr>
        <w:tc>
          <w:tcPr>
            <w:tcW w:type="dxa" w:w="1134"/>
          </w:tcPr>
          <w:p>
            <w:r/>
            <w:r>
              <w:rPr>
                <w:sz w:val="16"/>
              </w:rPr>
              <w:t>2022/23</w:t>
            </w:r>
          </w:p>
        </w:tc>
        <w:tc>
          <w:tcPr>
            <w:tcW w:type="dxa" w:w="1247"/>
          </w:tcPr>
          <w:p>
            <w:r/>
            <w:r>
              <w:rPr>
                <w:sz w:val="16"/>
              </w:rPr>
              <w:t>-18.9 %</w:t>
            </w:r>
          </w:p>
        </w:tc>
        <w:tc>
          <w:tcPr>
            <w:tcW w:type="dxa" w:w="1247"/>
          </w:tcPr>
          <w:p>
            <w:r/>
            <w:r>
              <w:rPr>
                <w:sz w:val="16"/>
              </w:rPr>
              <w:t>-9.3 %</w:t>
            </w:r>
          </w:p>
        </w:tc>
        <w:tc>
          <w:tcPr>
            <w:tcW w:type="dxa" w:w="1928"/>
          </w:tcPr>
          <w:p>
            <w:r/>
            <w:r>
              <w:rPr>
                <w:sz w:val="16"/>
              </w:rPr>
              <w:t>La Niña 2022/23 (-1.1)</w:t>
            </w:r>
          </w:p>
        </w:tc>
        <w:tc>
          <w:tcPr>
            <w:tcW w:type="dxa" w:w="4082"/>
          </w:tcPr>
          <w:p>
            <w:r/>
            <w:r>
              <w:rPr>
                <w:sz w:val="16"/>
              </w:rPr>
              <w:t>La Niña triple (2020-23), pluies excessives et engrais chers : 10,7 M sacs</w:t>
            </w:r>
          </w:p>
        </w:tc>
      </w:tr>
      <w:tr>
        <w:tc>
          <w:tcPr>
            <w:tcW w:type="dxa" w:w="1134"/>
          </w:tcPr>
          <w:p>
            <w:r/>
            <w:r>
              <w:rPr>
                <w:sz w:val="16"/>
              </w:rPr>
              <w:t>2008/09</w:t>
            </w:r>
          </w:p>
        </w:tc>
        <w:tc>
          <w:tcPr>
            <w:tcW w:type="dxa" w:w="1247"/>
          </w:tcPr>
          <w:p>
            <w:r/>
            <w:r>
              <w:rPr>
                <w:sz w:val="16"/>
              </w:rPr>
              <w:t>-16.1 %</w:t>
            </w:r>
          </w:p>
        </w:tc>
        <w:tc>
          <w:tcPr>
            <w:tcW w:type="dxa" w:w="1247"/>
          </w:tcPr>
          <w:p>
            <w:r/>
            <w:r>
              <w:rPr>
                <w:sz w:val="16"/>
              </w:rPr>
              <w:t>-30.8 %</w:t>
            </w:r>
          </w:p>
        </w:tc>
        <w:tc>
          <w:tcPr>
            <w:tcW w:type="dxa" w:w="1928"/>
          </w:tcPr>
          <w:p>
            <w:r/>
            <w:r>
              <w:rPr>
                <w:sz w:val="16"/>
              </w:rPr>
              <w:t>La Niña 2008/09 (-1.0)</w:t>
            </w:r>
          </w:p>
        </w:tc>
        <w:tc>
          <w:tcPr>
            <w:tcW w:type="dxa" w:w="4082"/>
          </w:tcPr>
          <w:p>
            <w:r/>
            <w:r>
              <w:rPr>
                <w:sz w:val="16"/>
              </w:rPr>
              <w:t>début de l'épidémie de roya, pluies excessives (La Niña) et lancement de la rénovation : 8,7 M sacs</w:t>
            </w:r>
          </w:p>
        </w:tc>
      </w:tr>
      <w:tr>
        <w:tc>
          <w:tcPr>
            <w:tcW w:type="dxa" w:w="1134"/>
          </w:tcPr>
          <w:p>
            <w:r/>
            <w:r>
              <w:rPr>
                <w:sz w:val="16"/>
              </w:rPr>
              <w:t>2009/10</w:t>
            </w:r>
          </w:p>
        </w:tc>
        <w:tc>
          <w:tcPr>
            <w:tcW w:type="dxa" w:w="1247"/>
          </w:tcPr>
          <w:p>
            <w:r/>
            <w:r>
              <w:rPr>
                <w:sz w:val="16"/>
              </w:rPr>
              <w:t>-13.3 %</w:t>
            </w:r>
          </w:p>
        </w:tc>
        <w:tc>
          <w:tcPr>
            <w:tcW w:type="dxa" w:w="1247"/>
          </w:tcPr>
          <w:p>
            <w:r/>
            <w:r>
              <w:rPr>
                <w:sz w:val="16"/>
              </w:rPr>
              <w:t>-6.5 %</w:t>
            </w:r>
          </w:p>
        </w:tc>
        <w:tc>
          <w:tcPr>
            <w:tcW w:type="dxa" w:w="1928"/>
          </w:tcPr>
          <w:p>
            <w:r/>
            <w:r>
              <w:rPr>
                <w:sz w:val="16"/>
              </w:rPr>
              <w:t>El Niño 2009/10 (+1.5)</w:t>
            </w:r>
          </w:p>
        </w:tc>
        <w:tc>
          <w:tcPr>
            <w:tcW w:type="dxa" w:w="4082"/>
          </w:tcPr>
          <w:p>
            <w:r/>
            <w:r>
              <w:rPr>
                <w:sz w:val="16"/>
              </w:rPr>
              <w:t>El Niño modéré mais verger en pleine rénovation : 8,1 M sacs</w:t>
            </w:r>
          </w:p>
        </w:tc>
      </w:tr>
      <w:tr>
        <w:tc>
          <w:tcPr>
            <w:tcW w:type="dxa" w:w="1134"/>
          </w:tcPr>
          <w:p>
            <w:r/>
            <w:r>
              <w:rPr>
                <w:sz w:val="16"/>
              </w:rPr>
              <w:t>2024/25</w:t>
            </w:r>
          </w:p>
        </w:tc>
        <w:tc>
          <w:tcPr>
            <w:tcW w:type="dxa" w:w="1247"/>
          </w:tcPr>
          <w:p>
            <w:r/>
            <w:r>
              <w:rPr>
                <w:sz w:val="16"/>
              </w:rPr>
              <w:t>+23.5 %</w:t>
            </w:r>
          </w:p>
        </w:tc>
        <w:tc>
          <w:tcPr>
            <w:tcW w:type="dxa" w:w="1247"/>
          </w:tcPr>
          <w:p>
            <w:r/>
            <w:r>
              <w:rPr>
                <w:sz w:val="16"/>
              </w:rPr>
              <w:t>+16.0 %</w:t>
            </w:r>
          </w:p>
        </w:tc>
        <w:tc>
          <w:tcPr>
            <w:tcW w:type="dxa" w:w="1928"/>
          </w:tcPr>
          <w:p>
            <w:r/>
            <w:r>
              <w:rPr>
                <w:sz w:val="16"/>
              </w:rPr>
              <w:t>La Niña 2024/25 (-1.1)</w:t>
            </w:r>
          </w:p>
        </w:tc>
        <w:tc>
          <w:tcPr>
            <w:tcW w:type="dxa" w:w="4082"/>
          </w:tcPr>
          <w:p>
            <w:r/>
            <w:r>
              <w:rPr>
                <w:sz w:val="16"/>
              </w:rPr>
            </w:r>
          </w:p>
        </w:tc>
      </w:tr>
      <w:tr>
        <w:tc>
          <w:tcPr>
            <w:tcW w:type="dxa" w:w="1134"/>
          </w:tcPr>
          <w:p>
            <w:r/>
            <w:r>
              <w:rPr>
                <w:sz w:val="16"/>
              </w:rPr>
              <w:t>2007/08</w:t>
            </w:r>
          </w:p>
        </w:tc>
        <w:tc>
          <w:tcPr>
            <w:tcW w:type="dxa" w:w="1247"/>
          </w:tcPr>
          <w:p>
            <w:r/>
            <w:r>
              <w:rPr>
                <w:sz w:val="16"/>
              </w:rPr>
              <w:t>+22.5 %</w:t>
            </w:r>
          </w:p>
        </w:tc>
        <w:tc>
          <w:tcPr>
            <w:tcW w:type="dxa" w:w="1247"/>
          </w:tcPr>
          <w:p>
            <w:r/>
            <w:r>
              <w:rPr>
                <w:sz w:val="16"/>
              </w:rPr>
              <w:t>+2.9 %</w:t>
            </w:r>
          </w:p>
        </w:tc>
        <w:tc>
          <w:tcPr>
            <w:tcW w:type="dxa" w:w="1928"/>
          </w:tcPr>
          <w:p>
            <w:r/>
            <w:r>
              <w:rPr>
                <w:sz w:val="16"/>
              </w:rPr>
              <w:t>La Niña 2007/08 (-1.6)</w:t>
            </w:r>
          </w:p>
        </w:tc>
        <w:tc>
          <w:tcPr>
            <w:tcW w:type="dxa" w:w="4082"/>
          </w:tcPr>
          <w:p>
            <w:r/>
            <w:r>
              <w:rPr>
                <w:sz w:val="16"/>
              </w:rPr>
            </w:r>
          </w:p>
        </w:tc>
      </w:tr>
      <w:tr>
        <w:tc>
          <w:tcPr>
            <w:tcW w:type="dxa" w:w="1134"/>
          </w:tcPr>
          <w:p>
            <w:r/>
            <w:r>
              <w:rPr>
                <w:sz w:val="16"/>
              </w:rPr>
              <w:t>2006/07</w:t>
            </w:r>
          </w:p>
        </w:tc>
        <w:tc>
          <w:tcPr>
            <w:tcW w:type="dxa" w:w="1247"/>
          </w:tcPr>
          <w:p>
            <w:r/>
            <w:r>
              <w:rPr>
                <w:sz w:val="16"/>
              </w:rPr>
              <w:t>+8.4 %</w:t>
            </w:r>
          </w:p>
        </w:tc>
        <w:tc>
          <w:tcPr>
            <w:tcW w:type="dxa" w:w="1247"/>
          </w:tcPr>
          <w:p>
            <w:r/>
            <w:r>
              <w:rPr>
                <w:sz w:val="16"/>
              </w:rPr>
              <w:t>+1.8 %</w:t>
            </w:r>
          </w:p>
        </w:tc>
        <w:tc>
          <w:tcPr>
            <w:tcW w:type="dxa" w:w="1928"/>
          </w:tcPr>
          <w:p>
            <w:r/>
            <w:r>
              <w:rPr>
                <w:sz w:val="16"/>
              </w:rPr>
              <w:t>El Niño 2006/07 (+0.9)</w:t>
            </w:r>
          </w:p>
        </w:tc>
        <w:tc>
          <w:tcPr>
            <w:tcW w:type="dxa" w:w="4082"/>
          </w:tcPr>
          <w:p>
            <w:r/>
            <w:r>
              <w:rPr>
                <w:sz w:val="16"/>
              </w:rPr>
            </w:r>
          </w:p>
        </w:tc>
      </w:tr>
    </w:tbl>
    <w:p/>
    <w:p>
      <w:r>
        <w:rPr>
          <w:b w:val="0"/>
          <w:i w:val="0"/>
          <w:sz w:val="20"/>
        </w:rPr>
        <w:t>Sur 26 campagnes, 13 ont une production sous la moyenne de leurs voisines ; écart-type des écarts 10.6 %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et augmente la température dans la zone andine colombienne (sécheresses 1997-98, 2015-16, 2023-24) ; La Niña apporte des excès de pluie, de la nébulosité et des inondations (2007-08, 2010-12, 2020-23). Pour un caféier de moyenne altitude sous un climat déjà très humide, un El Niño modéré est plutôt favorable (plus de soleil, floraison groupée, moins de roya) ; un El Niño fort apporte du stress hydrique et des grains plus petits ; La Niña est négative (roya, floraisons dispersées, cerises qui tombent, récolte et séchage perturbés).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colomb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Variation annuelle moyenne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474"/>
          </w:tcPr>
          <w:p>
            <w:r/>
            <w:r>
              <w:rPr>
                <w:b/>
                <w:sz w:val="15"/>
              </w:rPr>
              <w:t>Rendement : variation annuelle moyenne</w:t>
            </w:r>
          </w:p>
        </w:tc>
        <w:tc>
          <w:tcPr>
            <w:tcW w:type="dxa" w:w="1361"/>
          </w:tcPr>
          <w:p>
            <w:r/>
            <w:r>
              <w:rPr>
                <w:b/>
                <w:sz w:val="15"/>
              </w:rPr>
              <w:t>Rendement : écart aux voisines</w:t>
            </w:r>
          </w:p>
        </w:tc>
        <w:tc>
          <w:tcPr>
            <w:tcW w:type="dxa" w:w="1474"/>
          </w:tcPr>
          <w:p>
            <w:r/>
            <w:r>
              <w:rPr>
                <w:b/>
                <w:sz w:val="15"/>
              </w:rPr>
              <w:t>Production : variation annuelle moyenne</w:t>
            </w:r>
          </w:p>
        </w:tc>
        <w:tc>
          <w:tcPr>
            <w:tcW w:type="dxa" w:w="2948"/>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474"/>
          </w:tcPr>
          <w:p>
            <w:r/>
            <w:r>
              <w:rPr>
                <w:sz w:val="15"/>
              </w:rPr>
              <w:t>+5.3 %</w:t>
            </w:r>
          </w:p>
        </w:tc>
        <w:tc>
          <w:tcPr>
            <w:tcW w:type="dxa" w:w="1361"/>
          </w:tcPr>
          <w:p>
            <w:r/>
            <w:r>
              <w:rPr>
                <w:sz w:val="15"/>
              </w:rPr>
              <w:t>+4.1 %</w:t>
            </w:r>
          </w:p>
        </w:tc>
        <w:tc>
          <w:tcPr>
            <w:tcW w:type="dxa" w:w="1474"/>
          </w:tcPr>
          <w:p>
            <w:r/>
            <w:r>
              <w:rPr>
                <w:sz w:val="15"/>
              </w:rPr>
              <w:t>+5.3 %</w:t>
            </w:r>
          </w:p>
        </w:tc>
        <w:tc>
          <w:tcPr>
            <w:tcW w:type="dxa" w:w="2948"/>
          </w:tcPr>
          <w:p>
            <w:r/>
            <w:r>
              <w:rPr>
                <w:sz w:val="15"/>
              </w:rPr>
              <w:t>2015/16</w:t>
            </w:r>
          </w:p>
        </w:tc>
      </w:tr>
      <w:tr>
        <w:tc>
          <w:tcPr>
            <w:tcW w:type="dxa" w:w="1814"/>
          </w:tcPr>
          <w:p>
            <w:r/>
            <w:r>
              <w:rPr>
                <w:sz w:val="15"/>
              </w:rPr>
              <w:t>El Niño (0,5 à 1,6)</w:t>
            </w:r>
          </w:p>
        </w:tc>
        <w:tc>
          <w:tcPr>
            <w:tcW w:type="dxa" w:w="567"/>
          </w:tcPr>
          <w:p>
            <w:r/>
            <w:r>
              <w:rPr>
                <w:sz w:val="15"/>
              </w:rPr>
              <w:t>7</w:t>
            </w:r>
          </w:p>
        </w:tc>
        <w:tc>
          <w:tcPr>
            <w:tcW w:type="dxa" w:w="1474"/>
          </w:tcPr>
          <w:p>
            <w:r/>
            <w:r>
              <w:rPr>
                <w:sz w:val="15"/>
              </w:rPr>
              <w:t>+5.8 %</w:t>
            </w:r>
          </w:p>
        </w:tc>
        <w:tc>
          <w:tcPr>
            <w:tcW w:type="dxa" w:w="1361"/>
          </w:tcPr>
          <w:p>
            <w:r/>
            <w:r>
              <w:rPr>
                <w:sz w:val="15"/>
              </w:rPr>
              <w:t>+1.5 %</w:t>
            </w:r>
          </w:p>
        </w:tc>
        <w:tc>
          <w:tcPr>
            <w:tcW w:type="dxa" w:w="1474"/>
          </w:tcPr>
          <w:p>
            <w:r/>
            <w:r>
              <w:rPr>
                <w:sz w:val="15"/>
              </w:rPr>
              <w:t>+5.1 %</w:t>
            </w:r>
          </w:p>
        </w:tc>
        <w:tc>
          <w:tcPr>
            <w:tcW w:type="dxa" w:w="2948"/>
          </w:tcPr>
          <w:p>
            <w:r/>
            <w:r>
              <w:rPr>
                <w:sz w:val="15"/>
              </w:rPr>
              <w:t>2002/03 2004/05 2006/07 2009/10 2014/15 2018/19 2023/24</w:t>
            </w:r>
          </w:p>
        </w:tc>
      </w:tr>
      <w:tr>
        <w:tc>
          <w:tcPr>
            <w:tcW w:type="dxa" w:w="1814"/>
          </w:tcPr>
          <w:p>
            <w:r/>
            <w:r>
              <w:rPr>
                <w:sz w:val="15"/>
              </w:rPr>
              <w:t>neutre</w:t>
            </w:r>
          </w:p>
        </w:tc>
        <w:tc>
          <w:tcPr>
            <w:tcW w:type="dxa" w:w="567"/>
          </w:tcPr>
          <w:p>
            <w:r/>
            <w:r>
              <w:rPr>
                <w:sz w:val="15"/>
              </w:rPr>
              <w:t>4</w:t>
            </w:r>
          </w:p>
        </w:tc>
        <w:tc>
          <w:tcPr>
            <w:tcW w:type="dxa" w:w="1474"/>
          </w:tcPr>
          <w:p>
            <w:r/>
            <w:r>
              <w:rPr>
                <w:sz w:val="15"/>
              </w:rPr>
              <w:t>+12.7 %</w:t>
            </w:r>
          </w:p>
        </w:tc>
        <w:tc>
          <w:tcPr>
            <w:tcW w:type="dxa" w:w="1361"/>
          </w:tcPr>
          <w:p>
            <w:r/>
            <w:r>
              <w:rPr>
                <w:sz w:val="15"/>
              </w:rPr>
              <w:t>+0.1 %</w:t>
            </w:r>
          </w:p>
        </w:tc>
        <w:tc>
          <w:tcPr>
            <w:tcW w:type="dxa" w:w="1474"/>
          </w:tcPr>
          <w:p>
            <w:r/>
            <w:r>
              <w:rPr>
                <w:sz w:val="15"/>
              </w:rPr>
              <w:t>+12.6 %</w:t>
            </w:r>
          </w:p>
        </w:tc>
        <w:tc>
          <w:tcPr>
            <w:tcW w:type="dxa" w:w="2948"/>
          </w:tcPr>
          <w:p>
            <w:r/>
            <w:r>
              <w:rPr>
                <w:sz w:val="15"/>
              </w:rPr>
              <w:t>2001/02 2003/04 2012/13 2013/14</w:t>
            </w:r>
          </w:p>
        </w:tc>
      </w:tr>
      <w:tr>
        <w:tc>
          <w:tcPr>
            <w:tcW w:type="dxa" w:w="1814"/>
          </w:tcPr>
          <w:p>
            <w:r/>
            <w:r>
              <w:rPr>
                <w:sz w:val="15"/>
              </w:rPr>
              <w:t>La Niña</w:t>
            </w:r>
          </w:p>
        </w:tc>
        <w:tc>
          <w:tcPr>
            <w:tcW w:type="dxa" w:w="567"/>
          </w:tcPr>
          <w:p>
            <w:r/>
            <w:r>
              <w:rPr>
                <w:sz w:val="15"/>
              </w:rPr>
              <w:t>14</w:t>
            </w:r>
          </w:p>
        </w:tc>
        <w:tc>
          <w:tcPr>
            <w:tcW w:type="dxa" w:w="1474"/>
          </w:tcPr>
          <w:p>
            <w:r/>
            <w:r>
              <w:rPr>
                <w:sz w:val="15"/>
              </w:rPr>
              <w:t>-2.8 %</w:t>
            </w:r>
          </w:p>
        </w:tc>
        <w:tc>
          <w:tcPr>
            <w:tcW w:type="dxa" w:w="1361"/>
          </w:tcPr>
          <w:p>
            <w:r/>
            <w:r>
              <w:rPr>
                <w:sz w:val="15"/>
              </w:rPr>
              <w:t>-0.9 %</w:t>
            </w:r>
          </w:p>
        </w:tc>
        <w:tc>
          <w:tcPr>
            <w:tcW w:type="dxa" w:w="1474"/>
          </w:tcPr>
          <w:p>
            <w:r/>
            <w:r>
              <w:rPr>
                <w:sz w:val="15"/>
              </w:rPr>
              <w:t>-3.0 %</w:t>
            </w:r>
          </w:p>
        </w:tc>
        <w:tc>
          <w:tcPr>
            <w:tcW w:type="dxa" w:w="2948"/>
          </w:tcPr>
          <w:p>
            <w:r/>
            <w:r>
              <w:rPr>
                <w:sz w:val="15"/>
              </w:rPr>
              <w:t>1999/00 2000/01 2005/06 2007/08 2008/09 2010/11 2011/12 2016/17 2017/18 2019/20 2020/21 2021/22 2022/23 2024/25</w:t>
            </w:r>
          </w:p>
        </w:tc>
      </w:tr>
    </w:tbl>
    <w:p/>
    <w:p>
      <w:r>
        <w:rPr>
          <w:b w:val="0"/>
          <w:i/>
          <w:color w:val="52514E"/>
          <w:sz w:val="16"/>
        </w:rPr>
        <w:t>Variation annuelle = campagne N contre N−1 ; écart aux voisines = campagne N contre la moyenne des deux campagnes d'avant et des deux d'après (cycle ON/OFF retiré au Brésil). Au Brésil la variation annuelle porte le cycle : une classe composée surtout d'années ON affiche une hausse mécanique, et inversement.</w:t>
      </w:r>
    </w:p>
    <w:p>
      <w:r>
        <w:rPr>
          <w:b w:val="0"/>
          <w:i w:val="0"/>
          <w:sz w:val="20"/>
        </w:rPr>
        <w:t>Lecture : pour Colombie, El Niño est historiquement positif pour le rendement (variation annuelle moyenne +5.7 %, écart aux voisines +1.8 %) et La Niña négatif (-2.8 %, écart -0.9 %).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13 400 ; avec l'effet El Niño moyen (+1.4 %) : 13 588 ; avec l'effet des El Niño forts (+0.9 %) : 13 525 (milliers de sacs).</w:t>
      </w:r>
    </w:p>
    <w:p>
      <w:pPr>
        <w:pStyle w:val="Heading1"/>
      </w:pPr>
      <w:r>
        <w:t>7. Prévision</w:t>
      </w:r>
    </w:p>
    <w:p>
      <w:r>
        <w:rPr>
          <w:b w:val="0"/>
          <w:i w:val="0"/>
          <w:sz w:val="20"/>
        </w:rPr>
        <w:t>Modèle ARMA retenu pour Production Arabica : ARIMA(0,1,0), équation ∇X_t = ε_t ; ∇X_t = X_t − X_{t-1}. Backtest sur les 3 dernières campagnes : erreur moyenne 6.9 % contre 6.9 %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13 400</w:t>
            </w:r>
          </w:p>
        </w:tc>
        <w:tc>
          <w:tcPr>
            <w:tcW w:type="dxa" w:w="2268"/>
          </w:tcPr>
          <w:p>
            <w:r/>
            <w:r>
              <w:rPr>
                <w:sz w:val="17"/>
              </w:rPr>
              <w:t>11 682 – 15 118</w:t>
            </w:r>
          </w:p>
        </w:tc>
        <w:tc>
          <w:tcPr>
            <w:tcW w:type="dxa" w:w="2268"/>
          </w:tcPr>
          <w:p>
            <w:r/>
            <w:r>
              <w:rPr>
                <w:sz w:val="17"/>
              </w:rPr>
              <w:t>10 772 – 16 028</w:t>
            </w:r>
          </w:p>
        </w:tc>
      </w:tr>
      <w:tr>
        <w:tc>
          <w:tcPr>
            <w:tcW w:type="dxa" w:w="1701"/>
          </w:tcPr>
          <w:p>
            <w:r/>
            <w:r>
              <w:rPr>
                <w:sz w:val="17"/>
              </w:rPr>
              <w:t>2028/29</w:t>
            </w:r>
          </w:p>
        </w:tc>
        <w:tc>
          <w:tcPr>
            <w:tcW w:type="dxa" w:w="1701"/>
          </w:tcPr>
          <w:p>
            <w:r/>
            <w:r>
              <w:rPr>
                <w:sz w:val="17"/>
              </w:rPr>
              <w:t>13 400</w:t>
            </w:r>
          </w:p>
        </w:tc>
        <w:tc>
          <w:tcPr>
            <w:tcW w:type="dxa" w:w="2268"/>
          </w:tcPr>
          <w:p>
            <w:r/>
            <w:r>
              <w:rPr>
                <w:sz w:val="17"/>
              </w:rPr>
              <w:t>10 970 – 15 830</w:t>
            </w:r>
          </w:p>
        </w:tc>
        <w:tc>
          <w:tcPr>
            <w:tcW w:type="dxa" w:w="2268"/>
          </w:tcPr>
          <w:p>
            <w:r/>
            <w:r>
              <w:rPr>
                <w:sz w:val="17"/>
              </w:rPr>
              <w:t>9 683 – 17 117</w:t>
            </w:r>
          </w:p>
        </w:tc>
      </w:tr>
      <w:tr>
        <w:tc>
          <w:tcPr>
            <w:tcW w:type="dxa" w:w="1701"/>
          </w:tcPr>
          <w:p>
            <w:r/>
            <w:r>
              <w:rPr>
                <w:sz w:val="17"/>
              </w:rPr>
              <w:t>2029/30</w:t>
            </w:r>
          </w:p>
        </w:tc>
        <w:tc>
          <w:tcPr>
            <w:tcW w:type="dxa" w:w="1701"/>
          </w:tcPr>
          <w:p>
            <w:r/>
            <w:r>
              <w:rPr>
                <w:sz w:val="17"/>
              </w:rPr>
              <w:t>13 400</w:t>
            </w:r>
          </w:p>
        </w:tc>
        <w:tc>
          <w:tcPr>
            <w:tcW w:type="dxa" w:w="2268"/>
          </w:tcPr>
          <w:p>
            <w:r/>
            <w:r>
              <w:rPr>
                <w:sz w:val="17"/>
              </w:rPr>
              <w:t>10 424 – 16 376</w:t>
            </w:r>
          </w:p>
        </w:tc>
        <w:tc>
          <w:tcPr>
            <w:tcW w:type="dxa" w:w="2268"/>
          </w:tcPr>
          <w:p>
            <w:r/>
            <w:r>
              <w:rPr>
                <w:sz w:val="17"/>
              </w:rPr>
              <w:t>8 848 – 17 952</w:t>
            </w:r>
          </w:p>
        </w:tc>
      </w:tr>
      <w:tr>
        <w:tc>
          <w:tcPr>
            <w:tcW w:type="dxa" w:w="1701"/>
          </w:tcPr>
          <w:p>
            <w:r/>
            <w:r>
              <w:rPr>
                <w:sz w:val="17"/>
              </w:rPr>
              <w:t>2030/31</w:t>
            </w:r>
          </w:p>
        </w:tc>
        <w:tc>
          <w:tcPr>
            <w:tcW w:type="dxa" w:w="1701"/>
          </w:tcPr>
          <w:p>
            <w:r/>
            <w:r>
              <w:rPr>
                <w:sz w:val="17"/>
              </w:rPr>
              <w:t>13 400</w:t>
            </w:r>
          </w:p>
        </w:tc>
        <w:tc>
          <w:tcPr>
            <w:tcW w:type="dxa" w:w="2268"/>
          </w:tcPr>
          <w:p>
            <w:r/>
            <w:r>
              <w:rPr>
                <w:sz w:val="17"/>
              </w:rPr>
              <w:t>9 963 – 16 837</w:t>
            </w:r>
          </w:p>
        </w:tc>
        <w:tc>
          <w:tcPr>
            <w:tcW w:type="dxa" w:w="2268"/>
          </w:tcPr>
          <w:p>
            <w:r/>
            <w:r>
              <w:rPr>
                <w:sz w:val="17"/>
              </w:rPr>
              <w:t>8 144 – 18 656</w:t>
            </w:r>
          </w:p>
        </w:tc>
      </w:tr>
      <w:tr>
        <w:tc>
          <w:tcPr>
            <w:tcW w:type="dxa" w:w="1701"/>
          </w:tcPr>
          <w:p>
            <w:r/>
            <w:r>
              <w:rPr>
                <w:sz w:val="17"/>
              </w:rPr>
              <w:t>2031/32</w:t>
            </w:r>
          </w:p>
        </w:tc>
        <w:tc>
          <w:tcPr>
            <w:tcW w:type="dxa" w:w="1701"/>
          </w:tcPr>
          <w:p>
            <w:r/>
            <w:r>
              <w:rPr>
                <w:sz w:val="17"/>
              </w:rPr>
              <w:t>13 400</w:t>
            </w:r>
          </w:p>
        </w:tc>
        <w:tc>
          <w:tcPr>
            <w:tcW w:type="dxa" w:w="2268"/>
          </w:tcPr>
          <w:p>
            <w:r/>
            <w:r>
              <w:rPr>
                <w:sz w:val="17"/>
              </w:rPr>
              <w:t>9 557 – 17 242</w:t>
            </w:r>
          </w:p>
        </w:tc>
        <w:tc>
          <w:tcPr>
            <w:tcW w:type="dxa" w:w="2268"/>
          </w:tcPr>
          <w:p>
            <w:r/>
            <w:r>
              <w:rPr>
                <w:sz w:val="17"/>
              </w:rPr>
              <w:t>7 523 – 19 277</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Colombia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