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Honduras : balance sheet café, de la météo au rendement et à la production</w:t>
      </w:r>
    </w:p>
    <w:p>
      <w:r>
        <w:rPr>
          <w:b w:val="0"/>
          <w:i/>
          <w:color w:val="52514E"/>
          <w:sz w:val="18"/>
        </w:rPr>
        <w:t>Au 16 septembre 2026. Source des chiffres : balance sheet (onglet Honduras), USDA. Classification ENSO : NOAA CPC episode list reproduced from memory (peak ONI approximate); drop the CPC table in data/oni.csv to replace it.</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3 975 à 5 800 (+2.6 % par an) : surface bearing +1.8 % par an, rendement +0.8 % par an. La surface fait la croissance.</w:t>
      </w:r>
    </w:p>
    <w:p>
      <w:pPr>
        <w:pStyle w:val="ListBullet"/>
      </w:pPr>
      <w:r>
        <w:rPr>
          <w:sz w:val="20"/>
        </w:rPr>
        <w:t>El Niño : rendement en moyenne -2.8 % par rapport aux campagnes voisines sur 8 campagnes (62 % d'entre elles sous la moyenne) ; El Niño fort : -4.0 % (4 campagnes, 75 % sous la moyenne). La Niña : +5.3 % (11 campagnes).</w:t>
      </w:r>
    </w:p>
    <w:p>
      <w:pPr>
        <w:pStyle w:val="ListBullet"/>
      </w:pPr>
      <w:r>
        <w:rPr>
          <w:sz w:val="20"/>
        </w:rPr>
        <w:t>L'El Niño en cours pilote donc la campagne 2026/27.</w:t>
      </w:r>
    </w:p>
    <w:p>
      <w:pPr>
        <w:pStyle w:val="ListBullet"/>
      </w:pPr>
      <w:r>
        <w:rPr>
          <w:sz w:val="20"/>
        </w:rPr>
        <w:t>Prévision Production Arabica 2027/28 : 6 030 (intervalle 80 % 4 907 – 7 153) par le modèle ARMA ; avec l'effet El Niño historique moyen (-5.5 %) : 5 695.</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57633"/>
            <wp:docPr id="1" name="Picture 1"/>
            <wp:cNvGraphicFramePr>
              <a:graphicFrameLocks noChangeAspect="1"/>
            </wp:cNvGraphicFramePr>
            <a:graphic>
              <a:graphicData uri="http://schemas.openxmlformats.org/drawingml/2006/picture">
                <pic:pic>
                  <pic:nvPicPr>
                    <pic:cNvPr id="0" name="honduras_chain.png"/>
                    <pic:cNvPicPr/>
                  </pic:nvPicPr>
                  <pic:blipFill>
                    <a:blip r:embed="rId9"/>
                    <a:stretch>
                      <a:fillRect/>
                    </a:stretch>
                  </pic:blipFill>
                  <pic:spPr>
                    <a:xfrm>
                      <a:off x="0" y="0"/>
                      <a:ext cx="5760000" cy="2757633"/>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lavé (100 %). Campagne USDA : octobre-septembre. Régions : Copán, Ocotepeque, Lempira, Santa Bárbara (ouest), Comayagua, La Paz, Intibucá (centre), El Paraíso (est) ; 1 000-1 600 m.</w:t>
      </w:r>
    </w:p>
    <w:p>
      <w:pPr>
        <w:jc w:val="center"/>
      </w:pPr>
      <w:r>
        <w:drawing>
          <wp:inline xmlns:a="http://schemas.openxmlformats.org/drawingml/2006/main" xmlns:pic="http://schemas.openxmlformats.org/drawingml/2006/picture">
            <wp:extent cx="5760000" cy="2069884"/>
            <wp:docPr id="2" name="Picture 2"/>
            <wp:cNvGraphicFramePr>
              <a:graphicFrameLocks noChangeAspect="1"/>
            </wp:cNvGraphicFramePr>
            <a:graphic>
              <a:graphicData uri="http://schemas.openxmlformats.org/drawingml/2006/picture">
                <pic:pic>
                  <pic:nvPicPr>
                    <pic:cNvPr id="0" name="honduras_calendar.png"/>
                    <pic:cNvPicPr/>
                  </pic:nvPicPr>
                  <pic:blipFill>
                    <a:blip r:embed="rId10"/>
                    <a:stretch>
                      <a:fillRect/>
                    </a:stretch>
                  </pic:blipFill>
                  <pic:spPr>
                    <a:xfrm>
                      <a:off x="0" y="0"/>
                      <a:ext cx="5760000" cy="2069884"/>
                    </a:xfrm>
                    <a:prstGeom prst="rect"/>
                  </pic:spPr>
                </pic:pic>
              </a:graphicData>
            </a:graphic>
          </wp:inline>
        </w:drawing>
      </w:r>
    </w:p>
    <w:p>
      <w:r>
        <w:rPr>
          <w:b w:val="0"/>
          <w:i/>
          <w:color w:val="52514E"/>
          <w:sz w:val="16"/>
        </w:rPr>
        <w:t>Figure 2. Phases de la culture par mois (année civile).</w:t>
      </w:r>
    </w:p>
    <w:p>
      <w:r>
        <w:rPr>
          <w:b w:val="0"/>
          <w:i w:val="0"/>
          <w:sz w:val="20"/>
        </w:rPr>
        <w:t>La campagne Y/Y+1 (récolte nov. Y - mars Y+1) se construit entre la floraison d'avril-juin Y et octobre Y : l'épisode qui se développe en Y et culmine en déc.-fév. Y/Y+1 la pilote.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Arabica (1000 60-kg bags)</w:t>
            </w:r>
          </w:p>
        </w:tc>
        <w:tc>
          <w:tcPr>
            <w:tcW w:type="dxa" w:w="997"/>
          </w:tcPr>
          <w:p>
            <w:r/>
            <w:r>
              <w:rPr>
                <w:sz w:val="15"/>
              </w:rPr>
              <w:t>7 100</w:t>
            </w:r>
          </w:p>
        </w:tc>
        <w:tc>
          <w:tcPr>
            <w:tcW w:type="dxa" w:w="997"/>
          </w:tcPr>
          <w:p>
            <w:r/>
            <w:r>
              <w:rPr>
                <w:sz w:val="15"/>
              </w:rPr>
              <w:t>5 200</w:t>
            </w:r>
          </w:p>
        </w:tc>
        <w:tc>
          <w:tcPr>
            <w:tcW w:type="dxa" w:w="997"/>
          </w:tcPr>
          <w:p>
            <w:r/>
            <w:r>
              <w:rPr>
                <w:sz w:val="15"/>
              </w:rPr>
              <w:t>6 500</w:t>
            </w:r>
          </w:p>
        </w:tc>
        <w:tc>
          <w:tcPr>
            <w:tcW w:type="dxa" w:w="997"/>
          </w:tcPr>
          <w:p>
            <w:r/>
            <w:r>
              <w:rPr>
                <w:sz w:val="15"/>
              </w:rPr>
              <w:t>4 800</w:t>
            </w:r>
          </w:p>
        </w:tc>
        <w:tc>
          <w:tcPr>
            <w:tcW w:type="dxa" w:w="997"/>
          </w:tcPr>
          <w:p>
            <w:r/>
            <w:r>
              <w:rPr>
                <w:sz w:val="15"/>
              </w:rPr>
              <w:t>5 700</w:t>
            </w:r>
          </w:p>
        </w:tc>
        <w:tc>
          <w:tcPr>
            <w:tcW w:type="dxa" w:w="997"/>
          </w:tcPr>
          <w:p>
            <w:r/>
            <w:r>
              <w:rPr>
                <w:sz w:val="15"/>
              </w:rPr>
              <w:t>5 050</w:t>
            </w:r>
          </w:p>
        </w:tc>
        <w:tc>
          <w:tcPr>
            <w:tcW w:type="dxa" w:w="997"/>
          </w:tcPr>
          <w:p>
            <w:r/>
            <w:r>
              <w:rPr>
                <w:sz w:val="15"/>
              </w:rPr>
              <w:t>5 200</w:t>
            </w:r>
          </w:p>
        </w:tc>
        <w:tc>
          <w:tcPr>
            <w:tcW w:type="dxa" w:w="997"/>
          </w:tcPr>
          <w:p>
            <w:r/>
            <w:r>
              <w:rPr>
                <w:sz w:val="15"/>
              </w:rPr>
              <w:t>5 800</w:t>
            </w:r>
          </w:p>
        </w:tc>
        <w:tc>
          <w:tcPr>
            <w:tcW w:type="dxa" w:w="997"/>
          </w:tcPr>
          <w:p>
            <w:r/>
            <w:r>
              <w:rPr>
                <w:sz w:val="15"/>
              </w:rPr>
              <w:t>6 030</w:t>
            </w:r>
          </w:p>
        </w:tc>
      </w:tr>
      <w:tr>
        <w:tc>
          <w:tcPr>
            <w:tcW w:type="dxa" w:w="997"/>
          </w:tcPr>
          <w:p>
            <w:r/>
            <w:r>
              <w:rPr>
                <w:sz w:val="15"/>
              </w:rPr>
              <w:t>Surface totale (1000 ha)</w:t>
            </w:r>
          </w:p>
        </w:tc>
        <w:tc>
          <w:tcPr>
            <w:tcW w:type="dxa" w:w="997"/>
          </w:tcPr>
          <w:p>
            <w:r/>
            <w:r>
              <w:rPr>
                <w:sz w:val="15"/>
              </w:rPr>
              <w:t>322</w:t>
            </w:r>
          </w:p>
        </w:tc>
        <w:tc>
          <w:tcPr>
            <w:tcW w:type="dxa" w:w="997"/>
          </w:tcPr>
          <w:p>
            <w:r/>
            <w:r>
              <w:rPr>
                <w:sz w:val="15"/>
              </w:rPr>
              <w:t>305</w:t>
            </w:r>
          </w:p>
        </w:tc>
        <w:tc>
          <w:tcPr>
            <w:tcW w:type="dxa" w:w="997"/>
          </w:tcPr>
          <w:p>
            <w:r/>
            <w:r>
              <w:rPr>
                <w:sz w:val="15"/>
              </w:rPr>
              <w:t>307</w:t>
            </w:r>
          </w:p>
        </w:tc>
        <w:tc>
          <w:tcPr>
            <w:tcW w:type="dxa" w:w="997"/>
          </w:tcPr>
          <w:p>
            <w:r/>
            <w:r>
              <w:rPr>
                <w:sz w:val="15"/>
              </w:rPr>
              <w:t>307</w:t>
            </w:r>
          </w:p>
        </w:tc>
        <w:tc>
          <w:tcPr>
            <w:tcW w:type="dxa" w:w="997"/>
          </w:tcPr>
          <w:p>
            <w:r/>
            <w:r>
              <w:rPr>
                <w:sz w:val="15"/>
              </w:rPr>
              <w:t>320</w:t>
            </w:r>
          </w:p>
        </w:tc>
        <w:tc>
          <w:tcPr>
            <w:tcW w:type="dxa" w:w="997"/>
          </w:tcPr>
          <w:p>
            <w:r/>
            <w:r>
              <w:rPr>
                <w:sz w:val="15"/>
              </w:rPr>
              <w:t>330</w:t>
            </w:r>
          </w:p>
        </w:tc>
        <w:tc>
          <w:tcPr>
            <w:tcW w:type="dxa" w:w="997"/>
          </w:tcPr>
          <w:p>
            <w:r/>
            <w:r>
              <w:rPr>
                <w:sz w:val="15"/>
              </w:rPr>
              <w:t>340</w:t>
            </w:r>
          </w:p>
        </w:tc>
        <w:tc>
          <w:tcPr>
            <w:tcW w:type="dxa" w:w="997"/>
          </w:tcPr>
          <w:p>
            <w:r/>
            <w:r>
              <w:rPr>
                <w:sz w:val="15"/>
              </w:rPr>
              <w:t>350</w:t>
            </w:r>
          </w:p>
        </w:tc>
        <w:tc>
          <w:tcPr>
            <w:tcW w:type="dxa" w:w="997"/>
          </w:tcPr>
          <w:p>
            <w:r/>
            <w:r>
              <w:rPr>
                <w:sz w:val="15"/>
              </w:rPr>
              <w:t>360</w:t>
            </w:r>
          </w:p>
        </w:tc>
      </w:tr>
      <w:tr>
        <w:tc>
          <w:tcPr>
            <w:tcW w:type="dxa" w:w="997"/>
          </w:tcPr>
          <w:p>
            <w:r/>
            <w:r>
              <w:rPr>
                <w:sz w:val="15"/>
              </w:rPr>
              <w:t>Surface bearing (1000 ha)</w:t>
            </w:r>
          </w:p>
        </w:tc>
        <w:tc>
          <w:tcPr>
            <w:tcW w:type="dxa" w:w="997"/>
          </w:tcPr>
          <w:p>
            <w:r/>
            <w:r>
              <w:rPr>
                <w:sz w:val="15"/>
              </w:rPr>
              <w:t>286</w:t>
            </w:r>
          </w:p>
        </w:tc>
        <w:tc>
          <w:tcPr>
            <w:tcW w:type="dxa" w:w="997"/>
          </w:tcPr>
          <w:p>
            <w:r/>
            <w:r>
              <w:rPr>
                <w:sz w:val="15"/>
              </w:rPr>
              <w:t>270</w:t>
            </w:r>
          </w:p>
        </w:tc>
        <w:tc>
          <w:tcPr>
            <w:tcW w:type="dxa" w:w="997"/>
          </w:tcPr>
          <w:p>
            <w:r/>
            <w:r>
              <w:rPr>
                <w:sz w:val="15"/>
              </w:rPr>
              <w:t>273</w:t>
            </w:r>
          </w:p>
        </w:tc>
        <w:tc>
          <w:tcPr>
            <w:tcW w:type="dxa" w:w="997"/>
          </w:tcPr>
          <w:p>
            <w:r/>
            <w:r>
              <w:rPr>
                <w:sz w:val="15"/>
              </w:rPr>
              <w:t>275</w:t>
            </w:r>
          </w:p>
        </w:tc>
        <w:tc>
          <w:tcPr>
            <w:tcW w:type="dxa" w:w="997"/>
          </w:tcPr>
          <w:p>
            <w:r/>
            <w:r>
              <w:rPr>
                <w:sz w:val="15"/>
              </w:rPr>
              <w:t>285</w:t>
            </w:r>
          </w:p>
        </w:tc>
        <w:tc>
          <w:tcPr>
            <w:tcW w:type="dxa" w:w="997"/>
          </w:tcPr>
          <w:p>
            <w:r/>
            <w:r>
              <w:rPr>
                <w:sz w:val="15"/>
              </w:rPr>
              <w:t>292</w:t>
            </w:r>
          </w:p>
        </w:tc>
        <w:tc>
          <w:tcPr>
            <w:tcW w:type="dxa" w:w="997"/>
          </w:tcPr>
          <w:p>
            <w:r/>
            <w:r>
              <w:rPr>
                <w:sz w:val="15"/>
              </w:rPr>
              <w:t>300</w:t>
            </w:r>
          </w:p>
        </w:tc>
        <w:tc>
          <w:tcPr>
            <w:tcW w:type="dxa" w:w="997"/>
          </w:tcPr>
          <w:p>
            <w:r/>
            <w:r>
              <w:rPr>
                <w:sz w:val="15"/>
              </w:rPr>
              <w:t>310</w:t>
            </w:r>
          </w:p>
        </w:tc>
        <w:tc>
          <w:tcPr>
            <w:tcW w:type="dxa" w:w="997"/>
          </w:tcPr>
          <w:p>
            <w:r/>
            <w:r>
              <w:rPr>
                <w:sz w:val="15"/>
              </w:rPr>
              <w:t>330</w:t>
            </w:r>
          </w:p>
        </w:tc>
      </w:tr>
      <w:tr>
        <w:tc>
          <w:tcPr>
            <w:tcW w:type="dxa" w:w="997"/>
          </w:tcPr>
          <w:p>
            <w:r/>
            <w:r>
              <w:rPr>
                <w:sz w:val="15"/>
              </w:rPr>
              <w:t>Surface non-bearing (1000 ha)</w:t>
            </w:r>
          </w:p>
        </w:tc>
        <w:tc>
          <w:tcPr>
            <w:tcW w:type="dxa" w:w="997"/>
          </w:tcPr>
          <w:p>
            <w:r/>
            <w:r>
              <w:rPr>
                <w:sz w:val="15"/>
              </w:rPr>
              <w:t>36.0</w:t>
            </w:r>
          </w:p>
        </w:tc>
        <w:tc>
          <w:tcPr>
            <w:tcW w:type="dxa" w:w="997"/>
          </w:tcPr>
          <w:p>
            <w:r/>
            <w:r>
              <w:rPr>
                <w:sz w:val="15"/>
              </w:rPr>
              <w:t>35.0</w:t>
            </w:r>
          </w:p>
        </w:tc>
        <w:tc>
          <w:tcPr>
            <w:tcW w:type="dxa" w:w="997"/>
          </w:tcPr>
          <w:p>
            <w:r/>
            <w:r>
              <w:rPr>
                <w:sz w:val="15"/>
              </w:rPr>
              <w:t>34.0</w:t>
            </w:r>
          </w:p>
        </w:tc>
        <w:tc>
          <w:tcPr>
            <w:tcW w:type="dxa" w:w="997"/>
          </w:tcPr>
          <w:p>
            <w:r/>
            <w:r>
              <w:rPr>
                <w:sz w:val="15"/>
              </w:rPr>
              <w:t>32.0</w:t>
            </w:r>
          </w:p>
        </w:tc>
        <w:tc>
          <w:tcPr>
            <w:tcW w:type="dxa" w:w="997"/>
          </w:tcPr>
          <w:p>
            <w:r/>
            <w:r>
              <w:rPr>
                <w:sz w:val="15"/>
              </w:rPr>
              <w:t>35.0</w:t>
            </w:r>
          </w:p>
        </w:tc>
        <w:tc>
          <w:tcPr>
            <w:tcW w:type="dxa" w:w="997"/>
          </w:tcPr>
          <w:p>
            <w:r/>
            <w:r>
              <w:rPr>
                <w:sz w:val="15"/>
              </w:rPr>
              <w:t>38.0</w:t>
            </w:r>
          </w:p>
        </w:tc>
        <w:tc>
          <w:tcPr>
            <w:tcW w:type="dxa" w:w="997"/>
          </w:tcPr>
          <w:p>
            <w:r/>
            <w:r>
              <w:rPr>
                <w:sz w:val="15"/>
              </w:rPr>
              <w:t>100</w:t>
            </w:r>
          </w:p>
        </w:tc>
        <w:tc>
          <w:tcPr>
            <w:tcW w:type="dxa" w:w="997"/>
          </w:tcPr>
          <w:p>
            <w:r/>
            <w:r>
              <w:rPr>
                <w:sz w:val="15"/>
              </w:rPr>
              <w:t>40.0</w:t>
            </w:r>
          </w:p>
        </w:tc>
        <w:tc>
          <w:tcPr>
            <w:tcW w:type="dxa" w:w="997"/>
          </w:tcPr>
          <w:p>
            <w:r/>
            <w:r>
              <w:rPr>
                <w:sz w:val="15"/>
              </w:rPr>
              <w:t>30.0</w:t>
            </w:r>
          </w:p>
        </w:tc>
      </w:tr>
      <w:tr>
        <w:tc>
          <w:tcPr>
            <w:tcW w:type="dxa" w:w="997"/>
          </w:tcPr>
          <w:p>
            <w:r/>
            <w:r>
              <w:rPr>
                <w:sz w:val="15"/>
              </w:rPr>
              <w:t>Arbres (M) (million trees)</w:t>
            </w:r>
          </w:p>
        </w:tc>
        <w:tc>
          <w:tcPr>
            <w:tcW w:type="dxa" w:w="997"/>
          </w:tcPr>
          <w:p>
            <w:r/>
            <w:r>
              <w:rPr>
                <w:sz w:val="15"/>
              </w:rPr>
              <w:t>1 515</w:t>
            </w:r>
          </w:p>
        </w:tc>
        <w:tc>
          <w:tcPr>
            <w:tcW w:type="dxa" w:w="997"/>
          </w:tcPr>
          <w:p>
            <w:r/>
            <w:r>
              <w:rPr>
                <w:sz w:val="15"/>
              </w:rPr>
              <w:t>1 440</w:t>
            </w:r>
          </w:p>
        </w:tc>
        <w:tc>
          <w:tcPr>
            <w:tcW w:type="dxa" w:w="997"/>
          </w:tcPr>
          <w:p>
            <w:r/>
            <w:r>
              <w:rPr>
                <w:sz w:val="15"/>
              </w:rPr>
              <w:t>1 458</w:t>
            </w:r>
          </w:p>
        </w:tc>
        <w:tc>
          <w:tcPr>
            <w:tcW w:type="dxa" w:w="997"/>
          </w:tcPr>
          <w:p>
            <w:r/>
            <w:r>
              <w:rPr>
                <w:sz w:val="15"/>
              </w:rPr>
              <w:t>1 547</w:t>
            </w:r>
          </w:p>
        </w:tc>
        <w:tc>
          <w:tcPr>
            <w:tcW w:type="dxa" w:w="997"/>
          </w:tcPr>
          <w:p>
            <w:r/>
            <w:r>
              <w:rPr>
                <w:sz w:val="15"/>
              </w:rPr>
              <w:t>1 800</w:t>
            </w:r>
          </w:p>
        </w:tc>
        <w:tc>
          <w:tcPr>
            <w:tcW w:type="dxa" w:w="997"/>
          </w:tcPr>
          <w:p>
            <w:r/>
            <w:r>
              <w:rPr>
                <w:sz w:val="15"/>
              </w:rPr>
              <w:t>2 032</w:t>
            </w:r>
          </w:p>
        </w:tc>
        <w:tc>
          <w:tcPr>
            <w:tcW w:type="dxa" w:w="997"/>
          </w:tcPr>
          <w:p>
            <w:r/>
            <w:r>
              <w:rPr>
                <w:sz w:val="15"/>
              </w:rPr>
              <w:t>2 145</w:t>
            </w:r>
          </w:p>
        </w:tc>
        <w:tc>
          <w:tcPr>
            <w:tcW w:type="dxa" w:w="997"/>
          </w:tcPr>
          <w:p>
            <w:r/>
            <w:r>
              <w:rPr>
                <w:sz w:val="15"/>
              </w:rPr>
              <w:t>2 260</w:t>
            </w:r>
          </w:p>
        </w:tc>
        <w:tc>
          <w:tcPr>
            <w:tcW w:type="dxa" w:w="997"/>
          </w:tcPr>
          <w:p>
            <w:r/>
            <w:r>
              <w:rPr>
                <w:sz w:val="15"/>
              </w:rPr>
              <w:t>2 370</w:t>
            </w:r>
          </w:p>
        </w:tc>
      </w:tr>
      <w:tr>
        <w:tc>
          <w:tcPr>
            <w:tcW w:type="dxa" w:w="997"/>
          </w:tcPr>
          <w:p>
            <w:r/>
            <w:r>
              <w:rPr>
                <w:sz w:val="15"/>
              </w:rPr>
              <w:t>Arbres bearing (M) (million trees)</w:t>
            </w:r>
          </w:p>
        </w:tc>
        <w:tc>
          <w:tcPr>
            <w:tcW w:type="dxa" w:w="997"/>
          </w:tcPr>
          <w:p>
            <w:r/>
            <w:r>
              <w:rPr>
                <w:sz w:val="15"/>
              </w:rPr>
              <w:t>1 362</w:t>
            </w:r>
          </w:p>
        </w:tc>
        <w:tc>
          <w:tcPr>
            <w:tcW w:type="dxa" w:w="997"/>
          </w:tcPr>
          <w:p>
            <w:r/>
            <w:r>
              <w:rPr>
                <w:sz w:val="15"/>
              </w:rPr>
              <w:t>1 290</w:t>
            </w:r>
          </w:p>
        </w:tc>
        <w:tc>
          <w:tcPr>
            <w:tcW w:type="dxa" w:w="997"/>
          </w:tcPr>
          <w:p>
            <w:r/>
            <w:r>
              <w:rPr>
                <w:sz w:val="15"/>
              </w:rPr>
              <w:t>1 295</w:t>
            </w:r>
          </w:p>
        </w:tc>
        <w:tc>
          <w:tcPr>
            <w:tcW w:type="dxa" w:w="997"/>
          </w:tcPr>
          <w:p>
            <w:r/>
            <w:r>
              <w:rPr>
                <w:sz w:val="15"/>
              </w:rPr>
              <w:t>1 375</w:t>
            </w:r>
          </w:p>
        </w:tc>
        <w:tc>
          <w:tcPr>
            <w:tcW w:type="dxa" w:w="997"/>
          </w:tcPr>
          <w:p>
            <w:r/>
            <w:r>
              <w:rPr>
                <w:sz w:val="15"/>
              </w:rPr>
              <w:t>1 600</w:t>
            </w:r>
          </w:p>
        </w:tc>
        <w:tc>
          <w:tcPr>
            <w:tcW w:type="dxa" w:w="997"/>
          </w:tcPr>
          <w:p>
            <w:r/>
            <w:r>
              <w:rPr>
                <w:sz w:val="15"/>
              </w:rPr>
              <w:t>1 800</w:t>
            </w:r>
          </w:p>
        </w:tc>
        <w:tc>
          <w:tcPr>
            <w:tcW w:type="dxa" w:w="997"/>
          </w:tcPr>
          <w:p>
            <w:r/>
            <w:r>
              <w:rPr>
                <w:sz w:val="15"/>
              </w:rPr>
              <w:t>1 900</w:t>
            </w:r>
          </w:p>
        </w:tc>
        <w:tc>
          <w:tcPr>
            <w:tcW w:type="dxa" w:w="997"/>
          </w:tcPr>
          <w:p>
            <w:r/>
            <w:r>
              <w:rPr>
                <w:sz w:val="15"/>
              </w:rPr>
              <w:t>2 000</w:t>
            </w:r>
          </w:p>
        </w:tc>
        <w:tc>
          <w:tcPr>
            <w:tcW w:type="dxa" w:w="997"/>
          </w:tcPr>
          <w:p>
            <w:r/>
            <w:r>
              <w:rPr>
                <w:sz w:val="15"/>
              </w:rPr>
              <w:t>2 100</w:t>
            </w:r>
          </w:p>
        </w:tc>
      </w:tr>
      <w:tr>
        <w:tc>
          <w:tcPr>
            <w:tcW w:type="dxa" w:w="997"/>
          </w:tcPr>
          <w:p>
            <w:r/>
            <w:r>
              <w:rPr>
                <w:sz w:val="15"/>
              </w:rPr>
              <w:t>Arbres non-bearing (M) (million trees)</w:t>
            </w:r>
          </w:p>
        </w:tc>
        <w:tc>
          <w:tcPr>
            <w:tcW w:type="dxa" w:w="997"/>
          </w:tcPr>
          <w:p>
            <w:r/>
            <w:r>
              <w:rPr>
                <w:sz w:val="15"/>
              </w:rPr>
              <w:t>153</w:t>
            </w:r>
          </w:p>
        </w:tc>
        <w:tc>
          <w:tcPr>
            <w:tcW w:type="dxa" w:w="997"/>
          </w:tcPr>
          <w:p>
            <w:r/>
            <w:r>
              <w:rPr>
                <w:sz w:val="15"/>
              </w:rPr>
              <w:t>150</w:t>
            </w:r>
          </w:p>
        </w:tc>
        <w:tc>
          <w:tcPr>
            <w:tcW w:type="dxa" w:w="997"/>
          </w:tcPr>
          <w:p>
            <w:r/>
            <w:r>
              <w:rPr>
                <w:sz w:val="15"/>
              </w:rPr>
              <w:t>163</w:t>
            </w:r>
          </w:p>
        </w:tc>
        <w:tc>
          <w:tcPr>
            <w:tcW w:type="dxa" w:w="997"/>
          </w:tcPr>
          <w:p>
            <w:r/>
            <w:r>
              <w:rPr>
                <w:sz w:val="15"/>
              </w:rPr>
              <w:t>172</w:t>
            </w:r>
          </w:p>
        </w:tc>
        <w:tc>
          <w:tcPr>
            <w:tcW w:type="dxa" w:w="997"/>
          </w:tcPr>
          <w:p>
            <w:r/>
            <w:r>
              <w:rPr>
                <w:sz w:val="15"/>
              </w:rPr>
              <w:t>200</w:t>
            </w:r>
          </w:p>
        </w:tc>
        <w:tc>
          <w:tcPr>
            <w:tcW w:type="dxa" w:w="997"/>
          </w:tcPr>
          <w:p>
            <w:r/>
            <w:r>
              <w:rPr>
                <w:sz w:val="15"/>
              </w:rPr>
              <w:t>232</w:t>
            </w:r>
          </w:p>
        </w:tc>
        <w:tc>
          <w:tcPr>
            <w:tcW w:type="dxa" w:w="997"/>
          </w:tcPr>
          <w:p>
            <w:r/>
            <w:r>
              <w:rPr>
                <w:sz w:val="15"/>
              </w:rPr>
              <w:t>245</w:t>
            </w:r>
          </w:p>
        </w:tc>
        <w:tc>
          <w:tcPr>
            <w:tcW w:type="dxa" w:w="997"/>
          </w:tcPr>
          <w:p>
            <w:r/>
            <w:r>
              <w:rPr>
                <w:sz w:val="15"/>
              </w:rPr>
              <w:t>260</w:t>
            </w:r>
          </w:p>
        </w:tc>
        <w:tc>
          <w:tcPr>
            <w:tcW w:type="dxa" w:w="997"/>
          </w:tcPr>
          <w:p>
            <w:r/>
            <w:r>
              <w:rPr>
                <w:sz w:val="15"/>
              </w:rPr>
              <w:t>270</w:t>
            </w:r>
          </w:p>
        </w:tc>
      </w:tr>
      <w:tr>
        <w:tc>
          <w:tcPr>
            <w:tcW w:type="dxa" w:w="997"/>
          </w:tcPr>
          <w:p>
            <w:r/>
            <w:r>
              <w:rPr>
                <w:sz w:val="15"/>
              </w:rPr>
              <w:t>Rendement (bags/ha)</w:t>
            </w:r>
          </w:p>
        </w:tc>
        <w:tc>
          <w:tcPr>
            <w:tcW w:type="dxa" w:w="997"/>
          </w:tcPr>
          <w:p>
            <w:r/>
            <w:r>
              <w:rPr>
                <w:sz w:val="15"/>
              </w:rPr>
              <w:t>24.8</w:t>
            </w:r>
          </w:p>
        </w:tc>
        <w:tc>
          <w:tcPr>
            <w:tcW w:type="dxa" w:w="997"/>
          </w:tcPr>
          <w:p>
            <w:r/>
            <w:r>
              <w:rPr>
                <w:sz w:val="15"/>
              </w:rPr>
              <w:t>19.3</w:t>
            </w:r>
          </w:p>
        </w:tc>
        <w:tc>
          <w:tcPr>
            <w:tcW w:type="dxa" w:w="997"/>
          </w:tcPr>
          <w:p>
            <w:r/>
            <w:r>
              <w:rPr>
                <w:sz w:val="15"/>
              </w:rPr>
              <w:t>23.8</w:t>
            </w:r>
          </w:p>
        </w:tc>
        <w:tc>
          <w:tcPr>
            <w:tcW w:type="dxa" w:w="997"/>
          </w:tcPr>
          <w:p>
            <w:r/>
            <w:r>
              <w:rPr>
                <w:sz w:val="15"/>
              </w:rPr>
              <w:t>17.5</w:t>
            </w:r>
          </w:p>
        </w:tc>
        <w:tc>
          <w:tcPr>
            <w:tcW w:type="dxa" w:w="997"/>
          </w:tcPr>
          <w:p>
            <w:r/>
            <w:r>
              <w:rPr>
                <w:sz w:val="15"/>
              </w:rPr>
              <w:t>20.0</w:t>
            </w:r>
          </w:p>
        </w:tc>
        <w:tc>
          <w:tcPr>
            <w:tcW w:type="dxa" w:w="997"/>
          </w:tcPr>
          <w:p>
            <w:r/>
            <w:r>
              <w:rPr>
                <w:sz w:val="15"/>
              </w:rPr>
              <w:t>17.3</w:t>
            </w:r>
          </w:p>
        </w:tc>
        <w:tc>
          <w:tcPr>
            <w:tcW w:type="dxa" w:w="997"/>
          </w:tcPr>
          <w:p>
            <w:r/>
            <w:r>
              <w:rPr>
                <w:sz w:val="15"/>
              </w:rPr>
              <w:t>17.3</w:t>
            </w:r>
          </w:p>
        </w:tc>
        <w:tc>
          <w:tcPr>
            <w:tcW w:type="dxa" w:w="997"/>
          </w:tcPr>
          <w:p>
            <w:r/>
            <w:r>
              <w:rPr>
                <w:sz w:val="15"/>
              </w:rPr>
              <w:t>18.7</w:t>
            </w:r>
          </w:p>
        </w:tc>
        <w:tc>
          <w:tcPr>
            <w:tcW w:type="dxa" w:w="997"/>
          </w:tcPr>
          <w:p>
            <w:r/>
            <w:r>
              <w:rPr>
                <w:sz w:val="15"/>
              </w:rPr>
              <w:t>18.3</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honduras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+2.6 %/an = surface bearing +1.8 %/an + rendement +0.8 %/an (rendement implicite 16.7 → 18.7 sacs par ha bearing).</w:t>
      </w:r>
    </w:p>
    <w:p>
      <w:r>
        <w:rPr>
          <w:b w:val="0"/>
          <w:i w:val="0"/>
          <w:sz w:val="20"/>
        </w:rPr>
        <w:t>Stock d'arbres : part non-bearing (arbres jeunes, futur potentiel) 11 % en 2026/27 contre 15 % en 2000/01 (moyenne 14 %).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ARIMA(1,1,0) du rendement s'écrit ∇X_t = −0.543·∇X_{t-1} + ε_t ; ∇X_t = X_t − X_{t-1}. Pas de tendance déterministe retenue : le rendement évolue par chocs persistants.</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2019/20</w:t>
            </w:r>
          </w:p>
        </w:tc>
        <w:tc>
          <w:tcPr>
            <w:tcW w:type="dxa" w:w="1247"/>
          </w:tcPr>
          <w:p>
            <w:r/>
            <w:r>
              <w:rPr>
                <w:sz w:val="16"/>
              </w:rPr>
              <w:t>-15.9 %</w:t>
            </w:r>
          </w:p>
        </w:tc>
        <w:tc>
          <w:tcPr>
            <w:tcW w:type="dxa" w:w="1247"/>
          </w:tcPr>
          <w:p>
            <w:r/>
            <w:r>
              <w:rPr>
                <w:sz w:val="16"/>
              </w:rPr>
              <w:t>-22.4 %</w:t>
            </w:r>
          </w:p>
        </w:tc>
        <w:tc>
          <w:tcPr>
            <w:tcW w:type="dxa" w:w="1928"/>
          </w:tcPr>
          <w:p>
            <w:r/>
            <w:r>
              <w:rPr>
                <w:sz w:val="16"/>
              </w:rPr>
              <w:t>neutre 2019/20 (+0.5)</w:t>
            </w:r>
          </w:p>
        </w:tc>
        <w:tc>
          <w:tcPr>
            <w:tcW w:type="dxa" w:w="4082"/>
          </w:tcPr>
          <w:p>
            <w:r/>
            <w:r>
              <w:rPr>
                <w:sz w:val="16"/>
              </w:rPr>
            </w:r>
          </w:p>
        </w:tc>
      </w:tr>
      <w:tr>
        <w:tc>
          <w:tcPr>
            <w:tcW w:type="dxa" w:w="1134"/>
          </w:tcPr>
          <w:p>
            <w:r/>
            <w:r>
              <w:rPr>
                <w:sz w:val="16"/>
              </w:rPr>
              <w:t>2012/13</w:t>
            </w:r>
          </w:p>
        </w:tc>
        <w:tc>
          <w:tcPr>
            <w:tcW w:type="dxa" w:w="1247"/>
          </w:tcPr>
          <w:p>
            <w:r/>
            <w:r>
              <w:rPr>
                <w:sz w:val="16"/>
              </w:rPr>
              <w:t>-14.4 %</w:t>
            </w:r>
          </w:p>
        </w:tc>
        <w:tc>
          <w:tcPr>
            <w:tcW w:type="dxa" w:w="1247"/>
          </w:tcPr>
          <w:p>
            <w:r/>
            <w:r>
              <w:rPr>
                <w:sz w:val="16"/>
              </w:rPr>
              <w:t>-22.6 %</w:t>
            </w:r>
          </w:p>
        </w:tc>
        <w:tc>
          <w:tcPr>
            <w:tcW w:type="dxa" w:w="1928"/>
          </w:tcPr>
          <w:p>
            <w:r/>
            <w:r>
              <w:rPr>
                <w:sz w:val="16"/>
              </w:rPr>
              <w:t>neutre 2012/13 (-0.2)</w:t>
            </w:r>
          </w:p>
        </w:tc>
        <w:tc>
          <w:tcPr>
            <w:tcW w:type="dxa" w:w="4082"/>
          </w:tcPr>
          <w:p>
            <w:r/>
            <w:r>
              <w:rPr>
                <w:sz w:val="16"/>
              </w:rPr>
              <w:t>épidémie de roya 2012-13 : récolte 2012/13 puis 2013/14 en recul</w:t>
            </w:r>
          </w:p>
        </w:tc>
      </w:tr>
      <w:tr>
        <w:tc>
          <w:tcPr>
            <w:tcW w:type="dxa" w:w="1134"/>
          </w:tcPr>
          <w:p>
            <w:r/>
            <w:r>
              <w:rPr>
                <w:sz w:val="16"/>
              </w:rPr>
              <w:t>2001/02</w:t>
            </w:r>
          </w:p>
        </w:tc>
        <w:tc>
          <w:tcPr>
            <w:tcW w:type="dxa" w:w="1247"/>
          </w:tcPr>
          <w:p>
            <w:r/>
            <w:r>
              <w:rPr>
                <w:sz w:val="16"/>
              </w:rPr>
              <w:t>-14.2 %</w:t>
            </w:r>
          </w:p>
        </w:tc>
        <w:tc>
          <w:tcPr>
            <w:tcW w:type="dxa" w:w="1247"/>
          </w:tcPr>
          <w:p>
            <w:r/>
            <w:r>
              <w:rPr>
                <w:sz w:val="16"/>
              </w:rPr>
              <w:t>-3.3 %</w:t>
            </w:r>
          </w:p>
        </w:tc>
        <w:tc>
          <w:tcPr>
            <w:tcW w:type="dxa" w:w="1928"/>
          </w:tcPr>
          <w:p>
            <w:r/>
            <w:r>
              <w:rPr>
                <w:sz w:val="16"/>
              </w:rPr>
              <w:t>neutre 2001/02 (-0.3)</w:t>
            </w:r>
          </w:p>
        </w:tc>
        <w:tc>
          <w:tcPr>
            <w:tcW w:type="dxa" w:w="4082"/>
          </w:tcPr>
          <w:p>
            <w:r/>
            <w:r>
              <w:rPr>
                <w:sz w:val="16"/>
              </w:rPr>
            </w:r>
          </w:p>
        </w:tc>
      </w:tr>
      <w:tr>
        <w:tc>
          <w:tcPr>
            <w:tcW w:type="dxa" w:w="1134"/>
          </w:tcPr>
          <w:p>
            <w:r/>
            <w:r>
              <w:rPr>
                <w:sz w:val="16"/>
              </w:rPr>
              <w:t>2021/22</w:t>
            </w:r>
          </w:p>
        </w:tc>
        <w:tc>
          <w:tcPr>
            <w:tcW w:type="dxa" w:w="1247"/>
          </w:tcPr>
          <w:p>
            <w:r/>
            <w:r>
              <w:rPr>
                <w:sz w:val="16"/>
              </w:rPr>
              <w:t>-13.1 %</w:t>
            </w:r>
          </w:p>
        </w:tc>
        <w:tc>
          <w:tcPr>
            <w:tcW w:type="dxa" w:w="1247"/>
          </w:tcPr>
          <w:p>
            <w:r/>
            <w:r>
              <w:rPr>
                <w:sz w:val="16"/>
              </w:rPr>
              <w:t>-26.7 %</w:t>
            </w:r>
          </w:p>
        </w:tc>
        <w:tc>
          <w:tcPr>
            <w:tcW w:type="dxa" w:w="1928"/>
          </w:tcPr>
          <w:p>
            <w:r/>
            <w:r>
              <w:rPr>
                <w:sz w:val="16"/>
              </w:rPr>
              <w:t>La Niña 2021/22 (-1.0)</w:t>
            </w:r>
          </w:p>
        </w:tc>
        <w:tc>
          <w:tcPr>
            <w:tcW w:type="dxa" w:w="4082"/>
          </w:tcPr>
          <w:p>
            <w:r/>
            <w:r>
              <w:rPr>
                <w:sz w:val="16"/>
              </w:rPr>
            </w:r>
          </w:p>
        </w:tc>
      </w:tr>
      <w:tr>
        <w:tc>
          <w:tcPr>
            <w:tcW w:type="dxa" w:w="1134"/>
          </w:tcPr>
          <w:p>
            <w:r/>
            <w:r>
              <w:rPr>
                <w:sz w:val="16"/>
              </w:rPr>
              <w:t>2011/12</w:t>
            </w:r>
          </w:p>
        </w:tc>
        <w:tc>
          <w:tcPr>
            <w:tcW w:type="dxa" w:w="1247"/>
          </w:tcPr>
          <w:p>
            <w:r/>
            <w:r>
              <w:rPr>
                <w:sz w:val="16"/>
              </w:rPr>
              <w:t>+28.9 %</w:t>
            </w:r>
          </w:p>
        </w:tc>
        <w:tc>
          <w:tcPr>
            <w:tcW w:type="dxa" w:w="1247"/>
          </w:tcPr>
          <w:p>
            <w:r/>
            <w:r>
              <w:rPr>
                <w:sz w:val="16"/>
              </w:rPr>
              <w:t>+36.9 %</w:t>
            </w:r>
          </w:p>
        </w:tc>
        <w:tc>
          <w:tcPr>
            <w:tcW w:type="dxa" w:w="1928"/>
          </w:tcPr>
          <w:p>
            <w:r/>
            <w:r>
              <w:rPr>
                <w:sz w:val="16"/>
              </w:rPr>
              <w:t>La Niña 2011/12 (-1.1)</w:t>
            </w:r>
          </w:p>
        </w:tc>
        <w:tc>
          <w:tcPr>
            <w:tcW w:type="dxa" w:w="4082"/>
          </w:tcPr>
          <w:p>
            <w:r/>
            <w:r>
              <w:rPr>
                <w:sz w:val="16"/>
              </w:rPr>
            </w:r>
          </w:p>
        </w:tc>
      </w:tr>
      <w:tr>
        <w:tc>
          <w:tcPr>
            <w:tcW w:type="dxa" w:w="1134"/>
          </w:tcPr>
          <w:p>
            <w:r/>
            <w:r>
              <w:rPr>
                <w:sz w:val="16"/>
              </w:rPr>
              <w:t>2020/21</w:t>
            </w:r>
          </w:p>
        </w:tc>
        <w:tc>
          <w:tcPr>
            <w:tcW w:type="dxa" w:w="1247"/>
          </w:tcPr>
          <w:p>
            <w:r/>
            <w:r>
              <w:rPr>
                <w:sz w:val="16"/>
              </w:rPr>
              <w:t>+16.8 %</w:t>
            </w:r>
          </w:p>
        </w:tc>
        <w:tc>
          <w:tcPr>
            <w:tcW w:type="dxa" w:w="1247"/>
          </w:tcPr>
          <w:p>
            <w:r/>
            <w:r>
              <w:rPr>
                <w:sz w:val="16"/>
              </w:rPr>
              <w:t>+23.6 %</w:t>
            </w:r>
          </w:p>
        </w:tc>
        <w:tc>
          <w:tcPr>
            <w:tcW w:type="dxa" w:w="1928"/>
          </w:tcPr>
          <w:p>
            <w:r/>
            <w:r>
              <w:rPr>
                <w:sz w:val="16"/>
              </w:rPr>
              <w:t>La Niña 2020/21 (-1.3)</w:t>
            </w:r>
          </w:p>
        </w:tc>
        <w:tc>
          <w:tcPr>
            <w:tcW w:type="dxa" w:w="4082"/>
          </w:tcPr>
          <w:p>
            <w:r/>
            <w:r>
              <w:rPr>
                <w:sz w:val="16"/>
              </w:rPr>
              <w:t>ouragans Eta et Iota (nov. 2020), main-d'œuvre Covid : récolte 2020/21 réduite</w:t>
            </w:r>
          </w:p>
        </w:tc>
      </w:tr>
      <w:tr>
        <w:tc>
          <w:tcPr>
            <w:tcW w:type="dxa" w:w="1134"/>
          </w:tcPr>
          <w:p>
            <w:r/>
            <w:r>
              <w:rPr>
                <w:sz w:val="16"/>
              </w:rPr>
              <w:t>2005/06</w:t>
            </w:r>
          </w:p>
        </w:tc>
        <w:tc>
          <w:tcPr>
            <w:tcW w:type="dxa" w:w="1247"/>
          </w:tcPr>
          <w:p>
            <w:r/>
            <w:r>
              <w:rPr>
                <w:sz w:val="16"/>
              </w:rPr>
              <w:t>+15.7 %</w:t>
            </w:r>
          </w:p>
        </w:tc>
        <w:tc>
          <w:tcPr>
            <w:tcW w:type="dxa" w:w="1247"/>
          </w:tcPr>
          <w:p>
            <w:r/>
            <w:r>
              <w:rPr>
                <w:sz w:val="16"/>
              </w:rPr>
              <w:t>+24.4 %</w:t>
            </w:r>
          </w:p>
        </w:tc>
        <w:tc>
          <w:tcPr>
            <w:tcW w:type="dxa" w:w="1928"/>
          </w:tcPr>
          <w:p>
            <w:r/>
            <w:r>
              <w:rPr>
                <w:sz w:val="16"/>
              </w:rPr>
              <w:t>La Niña 2005/06 (-0.9)</w:t>
            </w:r>
          </w:p>
        </w:tc>
        <w:tc>
          <w:tcPr>
            <w:tcW w:type="dxa" w:w="4082"/>
          </w:tcPr>
          <w:p>
            <w:r/>
            <w:r>
              <w:rPr>
                <w:sz w:val="16"/>
              </w:rPr>
            </w:r>
          </w:p>
        </w:tc>
      </w:tr>
    </w:tbl>
    <w:p/>
    <w:p>
      <w:r>
        <w:rPr>
          <w:b w:val="0"/>
          <w:i w:val="0"/>
          <w:sz w:val="20"/>
        </w:rPr>
        <w:t>Sur 24 campagnes, 14 ont une production sous la moyenne de leurs voisines ; écart-type des écarts 13.5 %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réduit les pluies de la primera (mai-juillet) et allonge la canícula dans le Corridor sec d'Amérique centrale (sécheresses 2009, 2014-15, 2018-19, 2023) ; La Niña apporte des saisons plus humides et une activité cyclonique atlantique plus forte (ouragans Eta et Iota, novembre 2020). Pour le café, El Niño = stress hydrique au remplissage, grains plus petits, mais moins de roya ; La Niña = bonne humidité mais roya, glissements de terrain et pertes à la récolte.</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honduras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-4.0 %</w:t>
            </w:r>
          </w:p>
        </w:tc>
        <w:tc>
          <w:tcPr>
            <w:tcW w:type="dxa" w:w="1134"/>
          </w:tcPr>
          <w:p>
            <w:r/>
            <w:r>
              <w:rPr>
                <w:sz w:val="15"/>
              </w:rPr>
              <w:t>75 %</w:t>
            </w:r>
          </w:p>
        </w:tc>
        <w:tc>
          <w:tcPr>
            <w:tcW w:type="dxa" w:w="1361"/>
          </w:tcPr>
          <w:p>
            <w:r/>
            <w:r>
              <w:rPr>
                <w:sz w:val="15"/>
              </w:rPr>
              <w:t>-9.1 %</w:t>
            </w:r>
          </w:p>
        </w:tc>
        <w:tc>
          <w:tcPr>
            <w:tcW w:type="dxa" w:w="3402"/>
          </w:tcPr>
          <w:p>
            <w:r/>
            <w:r>
              <w:rPr>
                <w:sz w:val="15"/>
              </w:rPr>
              <w:t>2002/03 2009/10 2015/16 2023/24</w:t>
            </w:r>
          </w:p>
        </w:tc>
      </w:tr>
      <w:tr>
        <w:tc>
          <w:tcPr>
            <w:tcW w:type="dxa" w:w="1814"/>
          </w:tcPr>
          <w:p>
            <w:r/>
            <w:r>
              <w:rPr>
                <w:sz w:val="15"/>
              </w:rPr>
              <w:t>El Niño</w:t>
            </w:r>
          </w:p>
        </w:tc>
        <w:tc>
          <w:tcPr>
            <w:tcW w:type="dxa" w:w="567"/>
          </w:tcPr>
          <w:p>
            <w:r/>
            <w:r>
              <w:rPr>
                <w:sz w:val="15"/>
              </w:rPr>
              <w:t>8</w:t>
            </w:r>
          </w:p>
        </w:tc>
        <w:tc>
          <w:tcPr>
            <w:tcW w:type="dxa" w:w="1361"/>
          </w:tcPr>
          <w:p>
            <w:r/>
            <w:r>
              <w:rPr>
                <w:sz w:val="15"/>
              </w:rPr>
              <w:t>-2.8 %</w:t>
            </w:r>
          </w:p>
        </w:tc>
        <w:tc>
          <w:tcPr>
            <w:tcW w:type="dxa" w:w="1134"/>
          </w:tcPr>
          <w:p>
            <w:r/>
            <w:r>
              <w:rPr>
                <w:sz w:val="15"/>
              </w:rPr>
              <w:t>62 %</w:t>
            </w:r>
          </w:p>
        </w:tc>
        <w:tc>
          <w:tcPr>
            <w:tcW w:type="dxa" w:w="1361"/>
          </w:tcPr>
          <w:p>
            <w:r/>
            <w:r>
              <w:rPr>
                <w:sz w:val="15"/>
              </w:rPr>
              <w:t>-5.5 %</w:t>
            </w:r>
          </w:p>
        </w:tc>
        <w:tc>
          <w:tcPr>
            <w:tcW w:type="dxa" w:w="3402"/>
          </w:tcPr>
          <w:p>
            <w:r/>
            <w:r>
              <w:rPr>
                <w:sz w:val="15"/>
              </w:rPr>
              <w:t>2002/03 2004/05 2006/07 2009/10 2014/15 2015/16 2018/19 2023/24</w:t>
            </w:r>
          </w:p>
        </w:tc>
      </w:tr>
      <w:tr>
        <w:tc>
          <w:tcPr>
            <w:tcW w:type="dxa" w:w="1814"/>
          </w:tcPr>
          <w:p>
            <w:r/>
            <w:r>
              <w:rPr>
                <w:sz w:val="15"/>
              </w:rPr>
              <w:t>neutre</w:t>
            </w:r>
          </w:p>
        </w:tc>
        <w:tc>
          <w:tcPr>
            <w:tcW w:type="dxa" w:w="567"/>
          </w:tcPr>
          <w:p>
            <w:r/>
            <w:r>
              <w:rPr>
                <w:sz w:val="15"/>
              </w:rPr>
              <w:t>5</w:t>
            </w:r>
          </w:p>
        </w:tc>
        <w:tc>
          <w:tcPr>
            <w:tcW w:type="dxa" w:w="1361"/>
          </w:tcPr>
          <w:p>
            <w:r/>
            <w:r>
              <w:rPr>
                <w:sz w:val="15"/>
              </w:rPr>
              <w:t>-8.3 %</w:t>
            </w:r>
          </w:p>
        </w:tc>
        <w:tc>
          <w:tcPr>
            <w:tcW w:type="dxa" w:w="1134"/>
          </w:tcPr>
          <w:p>
            <w:r/>
            <w:r>
              <w:rPr>
                <w:sz w:val="15"/>
              </w:rPr>
              <w:t>80 %</w:t>
            </w:r>
          </w:p>
        </w:tc>
        <w:tc>
          <w:tcPr>
            <w:tcW w:type="dxa" w:w="1361"/>
          </w:tcPr>
          <w:p>
            <w:r/>
            <w:r>
              <w:rPr>
                <w:sz w:val="15"/>
              </w:rPr>
              <w:t>-8.1 %</w:t>
            </w:r>
          </w:p>
        </w:tc>
        <w:tc>
          <w:tcPr>
            <w:tcW w:type="dxa" w:w="3402"/>
          </w:tcPr>
          <w:p>
            <w:r/>
            <w:r>
              <w:rPr>
                <w:sz w:val="15"/>
              </w:rPr>
              <w:t>2001/02 2003/04 2012/13 2013/14 2019/20</w:t>
            </w:r>
          </w:p>
        </w:tc>
      </w:tr>
      <w:tr>
        <w:tc>
          <w:tcPr>
            <w:tcW w:type="dxa" w:w="1814"/>
          </w:tcPr>
          <w:p>
            <w:r/>
            <w:r>
              <w:rPr>
                <w:sz w:val="15"/>
              </w:rPr>
              <w:t>La Niña</w:t>
            </w:r>
          </w:p>
        </w:tc>
        <w:tc>
          <w:tcPr>
            <w:tcW w:type="dxa" w:w="567"/>
          </w:tcPr>
          <w:p>
            <w:r/>
            <w:r>
              <w:rPr>
                <w:sz w:val="15"/>
              </w:rPr>
              <w:t>11</w:t>
            </w:r>
          </w:p>
        </w:tc>
        <w:tc>
          <w:tcPr>
            <w:tcW w:type="dxa" w:w="1361"/>
          </w:tcPr>
          <w:p>
            <w:r/>
            <w:r>
              <w:rPr>
                <w:sz w:val="15"/>
              </w:rPr>
              <w:t>+5.3 %</w:t>
            </w:r>
          </w:p>
        </w:tc>
        <w:tc>
          <w:tcPr>
            <w:tcW w:type="dxa" w:w="1134"/>
          </w:tcPr>
          <w:p>
            <w:r/>
            <w:r>
              <w:rPr>
                <w:sz w:val="15"/>
              </w:rPr>
              <w:t>45 %</w:t>
            </w:r>
          </w:p>
        </w:tc>
        <w:tc>
          <w:tcPr>
            <w:tcW w:type="dxa" w:w="1361"/>
          </w:tcPr>
          <w:p>
            <w:r/>
            <w:r>
              <w:rPr>
                <w:sz w:val="15"/>
              </w:rPr>
              <w:t>+6.3 %</w:t>
            </w:r>
          </w:p>
        </w:tc>
        <w:tc>
          <w:tcPr>
            <w:tcW w:type="dxa" w:w="3402"/>
          </w:tcPr>
          <w:p>
            <w:r/>
            <w:r>
              <w:rPr>
                <w:sz w:val="15"/>
              </w:rPr>
              <w:t>2005/06 2007/08 2008/09 2010/11 2011/12 2016/17 2017/18 2020/21 2021/22 2022/23 2024/25</w:t>
            </w:r>
          </w:p>
        </w:tc>
      </w:tr>
      <w:tr>
        <w:tc>
          <w:tcPr>
            <w:tcW w:type="dxa" w:w="1814"/>
          </w:tcPr>
          <w:p>
            <w:r/>
            <w:r>
              <w:rPr>
                <w:sz w:val="15"/>
              </w:rPr>
              <w:t>La Niña forte (|ONI| ≥ 1)</w:t>
            </w:r>
          </w:p>
        </w:tc>
        <w:tc>
          <w:tcPr>
            <w:tcW w:type="dxa" w:w="567"/>
          </w:tcPr>
          <w:p>
            <w:r/>
            <w:r>
              <w:rPr>
                <w:sz w:val="15"/>
              </w:rPr>
              <w:t>7</w:t>
            </w:r>
          </w:p>
        </w:tc>
        <w:tc>
          <w:tcPr>
            <w:tcW w:type="dxa" w:w="1361"/>
          </w:tcPr>
          <w:p>
            <w:r/>
            <w:r>
              <w:rPr>
                <w:sz w:val="15"/>
              </w:rPr>
              <w:t>+5.9 %</w:t>
            </w:r>
          </w:p>
        </w:tc>
        <w:tc>
          <w:tcPr>
            <w:tcW w:type="dxa" w:w="1134"/>
          </w:tcPr>
          <w:p>
            <w:r/>
            <w:r>
              <w:rPr>
                <w:sz w:val="15"/>
              </w:rPr>
              <w:t>43 %</w:t>
            </w:r>
          </w:p>
        </w:tc>
        <w:tc>
          <w:tcPr>
            <w:tcW w:type="dxa" w:w="1361"/>
          </w:tcPr>
          <w:p>
            <w:r/>
            <w:r>
              <w:rPr>
                <w:sz w:val="15"/>
              </w:rPr>
              <w:t>+8.6 %</w:t>
            </w:r>
          </w:p>
        </w:tc>
        <w:tc>
          <w:tcPr>
            <w:tcW w:type="dxa" w:w="3402"/>
          </w:tcPr>
          <w:p>
            <w:r/>
            <w:r>
              <w:rPr>
                <w:sz w:val="15"/>
              </w:rPr>
              <w:t>2007/08 2010/11 2011/12 2017/18 2020/21 2021/22 2022/23</w:t>
            </w:r>
          </w:p>
        </w:tc>
      </w:tr>
    </w:tbl>
    <w:p/>
    <w:p>
      <w:r>
        <w:rPr>
          <w:b w:val="0"/>
          <w:i w:val="0"/>
          <w:sz w:val="20"/>
        </w:rPr>
        <w:t>Lecture : pour Honduras, El Niño est historiquement négatif pour le rendement (-2.8 %) et La Niña positif (+5.3 %).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6 030 ; avec l'effet El Niño moyen (-5.5 %) : 5 695 ; avec l'effet des El Niño forts (-9.1 %) : 5 482 (milliers de sacs).</w:t>
      </w:r>
    </w:p>
    <w:p>
      <w:pPr>
        <w:pStyle w:val="Heading1"/>
      </w:pPr>
      <w:r>
        <w:t>7. Prévision</w:t>
      </w:r>
    </w:p>
    <w:p>
      <w:r>
        <w:rPr>
          <w:b w:val="0"/>
          <w:i w:val="0"/>
          <w:sz w:val="20"/>
        </w:rPr>
        <w:t>Modèle ARMA retenu pour Production Arabica : ARIMA(0,1,0), équation ∇X_t = ε_t ; ∇X_t = X_t − X_{t-1}. Backtest sur les 3 dernières campagnes : erreur moyenne 10.7 % contre 10.7 %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6 030</w:t>
            </w:r>
          </w:p>
        </w:tc>
        <w:tc>
          <w:tcPr>
            <w:tcW w:type="dxa" w:w="2268"/>
          </w:tcPr>
          <w:p>
            <w:r/>
            <w:r>
              <w:rPr>
                <w:sz w:val="17"/>
              </w:rPr>
              <w:t>4 907 – 7 153</w:t>
            </w:r>
          </w:p>
        </w:tc>
        <w:tc>
          <w:tcPr>
            <w:tcW w:type="dxa" w:w="2268"/>
          </w:tcPr>
          <w:p>
            <w:r/>
            <w:r>
              <w:rPr>
                <w:sz w:val="17"/>
              </w:rPr>
              <w:t>4 313 – 7 747</w:t>
            </w:r>
          </w:p>
        </w:tc>
      </w:tr>
      <w:tr>
        <w:tc>
          <w:tcPr>
            <w:tcW w:type="dxa" w:w="1701"/>
          </w:tcPr>
          <w:p>
            <w:r/>
            <w:r>
              <w:rPr>
                <w:sz w:val="17"/>
              </w:rPr>
              <w:t>2028/29</w:t>
            </w:r>
          </w:p>
        </w:tc>
        <w:tc>
          <w:tcPr>
            <w:tcW w:type="dxa" w:w="1701"/>
          </w:tcPr>
          <w:p>
            <w:r/>
            <w:r>
              <w:rPr>
                <w:sz w:val="17"/>
              </w:rPr>
              <w:t>6 030</w:t>
            </w:r>
          </w:p>
        </w:tc>
        <w:tc>
          <w:tcPr>
            <w:tcW w:type="dxa" w:w="2268"/>
          </w:tcPr>
          <w:p>
            <w:r/>
            <w:r>
              <w:rPr>
                <w:sz w:val="17"/>
              </w:rPr>
              <w:t>4 442 – 7 618</w:t>
            </w:r>
          </w:p>
        </w:tc>
        <w:tc>
          <w:tcPr>
            <w:tcW w:type="dxa" w:w="2268"/>
          </w:tcPr>
          <w:p>
            <w:r/>
            <w:r>
              <w:rPr>
                <w:sz w:val="17"/>
              </w:rPr>
              <w:t>3 601 – 8 459</w:t>
            </w:r>
          </w:p>
        </w:tc>
      </w:tr>
      <w:tr>
        <w:tc>
          <w:tcPr>
            <w:tcW w:type="dxa" w:w="1701"/>
          </w:tcPr>
          <w:p>
            <w:r/>
            <w:r>
              <w:rPr>
                <w:sz w:val="17"/>
              </w:rPr>
              <w:t>2029/30</w:t>
            </w:r>
          </w:p>
        </w:tc>
        <w:tc>
          <w:tcPr>
            <w:tcW w:type="dxa" w:w="1701"/>
          </w:tcPr>
          <w:p>
            <w:r/>
            <w:r>
              <w:rPr>
                <w:sz w:val="17"/>
              </w:rPr>
              <w:t>6 030</w:t>
            </w:r>
          </w:p>
        </w:tc>
        <w:tc>
          <w:tcPr>
            <w:tcW w:type="dxa" w:w="2268"/>
          </w:tcPr>
          <w:p>
            <w:r/>
            <w:r>
              <w:rPr>
                <w:sz w:val="17"/>
              </w:rPr>
              <w:t>4 085 – 7 975</w:t>
            </w:r>
          </w:p>
        </w:tc>
        <w:tc>
          <w:tcPr>
            <w:tcW w:type="dxa" w:w="2268"/>
          </w:tcPr>
          <w:p>
            <w:r/>
            <w:r>
              <w:rPr>
                <w:sz w:val="17"/>
              </w:rPr>
              <w:t>3 056 – 9 004</w:t>
            </w:r>
          </w:p>
        </w:tc>
      </w:tr>
      <w:tr>
        <w:tc>
          <w:tcPr>
            <w:tcW w:type="dxa" w:w="1701"/>
          </w:tcPr>
          <w:p>
            <w:r/>
            <w:r>
              <w:rPr>
                <w:sz w:val="17"/>
              </w:rPr>
              <w:t>2030/31</w:t>
            </w:r>
          </w:p>
        </w:tc>
        <w:tc>
          <w:tcPr>
            <w:tcW w:type="dxa" w:w="1701"/>
          </w:tcPr>
          <w:p>
            <w:r/>
            <w:r>
              <w:rPr>
                <w:sz w:val="17"/>
              </w:rPr>
              <w:t>6 030</w:t>
            </w:r>
          </w:p>
        </w:tc>
        <w:tc>
          <w:tcPr>
            <w:tcW w:type="dxa" w:w="2268"/>
          </w:tcPr>
          <w:p>
            <w:r/>
            <w:r>
              <w:rPr>
                <w:sz w:val="17"/>
              </w:rPr>
              <w:t>3 784 – 8 276</w:t>
            </w:r>
          </w:p>
        </w:tc>
        <w:tc>
          <w:tcPr>
            <w:tcW w:type="dxa" w:w="2268"/>
          </w:tcPr>
          <w:p>
            <w:r/>
            <w:r>
              <w:rPr>
                <w:sz w:val="17"/>
              </w:rPr>
              <w:t>2 595 – 9 465</w:t>
            </w:r>
          </w:p>
        </w:tc>
      </w:tr>
      <w:tr>
        <w:tc>
          <w:tcPr>
            <w:tcW w:type="dxa" w:w="1701"/>
          </w:tcPr>
          <w:p>
            <w:r/>
            <w:r>
              <w:rPr>
                <w:sz w:val="17"/>
              </w:rPr>
              <w:t>2031/32</w:t>
            </w:r>
          </w:p>
        </w:tc>
        <w:tc>
          <w:tcPr>
            <w:tcW w:type="dxa" w:w="1701"/>
          </w:tcPr>
          <w:p>
            <w:r/>
            <w:r>
              <w:rPr>
                <w:sz w:val="17"/>
              </w:rPr>
              <w:t>6 030</w:t>
            </w:r>
          </w:p>
        </w:tc>
        <w:tc>
          <w:tcPr>
            <w:tcW w:type="dxa" w:w="2268"/>
          </w:tcPr>
          <w:p>
            <w:r/>
            <w:r>
              <w:rPr>
                <w:sz w:val="17"/>
              </w:rPr>
              <w:t>3 519 – 8 541</w:t>
            </w:r>
          </w:p>
        </w:tc>
        <w:tc>
          <w:tcPr>
            <w:tcW w:type="dxa" w:w="2268"/>
          </w:tcPr>
          <w:p>
            <w:r/>
            <w:r>
              <w:rPr>
                <w:sz w:val="17"/>
              </w:rPr>
              <w:t>2 190 – 9 870</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arabica.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Honduras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