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2015/16 et 2025/26, la production est passée de 49 400 à 63 000 (+2.5 % par an) : surface bearing -1.1 % par an, rendement +3.6 % par an. Le rendement fait la croissance.</w:t>
      </w:r>
    </w:p>
    <w:p>
      <w:pPr>
        <w:pStyle w:val="ListBullet"/>
      </w:pPr>
      <w:r>
        <w:rPr>
          <w:sz w:val="20"/>
        </w:rPr>
        <w:t>El Niño : rendement en moyenne -4.4 % par rapport aux campagnes voisines sur 8 campagnes (88 % d'entre elles sous la moyenne) ; El Niño fort : -7.2 % (4 campagnes, 100 % sous la moyenne). La Niña : +0.1 % (10 campagnes).</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(-3.8 %) : 67 366.</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2015/16 → 2025/26 : production +2.5 %/an = surface bearing -1.1 %/an + rendement +3.6 %/an (rendement implicite 23.9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814"/>
          </w:tcPr>
          <w:p>
            <w:r/>
            <w:r>
              <w:rPr>
                <w:sz w:val="16"/>
              </w:rPr>
              <w:t>El Niño (+1.3)</w:t>
            </w:r>
          </w:p>
        </w:tc>
        <w:tc>
          <w:tcPr>
            <w:tcW w:type="dxa" w:w="4195"/>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814"/>
          </w:tcPr>
          <w:p>
            <w:r/>
            <w:r>
              <w:rPr>
                <w:sz w:val="16"/>
              </w:rPr>
              <w:t>La Niña (-1.0)</w:t>
            </w:r>
          </w:p>
        </w:tc>
        <w:tc>
          <w:tcPr>
            <w:tcW w:type="dxa" w:w="4195"/>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814"/>
          </w:tcPr>
          <w:p>
            <w:r/>
            <w:r>
              <w:rPr>
                <w:sz w:val="16"/>
              </w:rPr>
              <w:t>neutre (-0.4)</w:t>
            </w:r>
          </w:p>
        </w:tc>
        <w:tc>
          <w:tcPr>
            <w:tcW w:type="dxa" w:w="4195"/>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814"/>
          </w:tcPr>
          <w:p>
            <w:r/>
            <w:r>
              <w:rPr>
                <w:sz w:val="16"/>
              </w:rPr>
              <w:t>El Niño (+2.6)</w:t>
            </w:r>
          </w:p>
        </w:tc>
        <w:tc>
          <w:tcPr>
            <w:tcW w:type="dxa" w:w="4195"/>
          </w:tcPr>
          <w:p>
            <w:r/>
            <w:r>
              <w:rPr>
                <w:sz w:val="16"/>
              </w:rPr>
              <w:t>sécheresse 2015-16 en Espírito Santo : conilon au plus bas (10,5 M sacs)</w:t>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814"/>
          </w:tcPr>
          <w:p>
            <w:r/>
            <w:r>
              <w:rPr>
                <w:sz w:val="16"/>
              </w:rPr>
              <w:t>neutre (-0.3)</w:t>
            </w:r>
          </w:p>
        </w:tc>
        <w:tc>
          <w:tcPr>
            <w:tcW w:type="dxa" w:w="4195"/>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814"/>
          </w:tcPr>
          <w:p>
            <w:r/>
            <w:r>
              <w:rPr>
                <w:sz w:val="16"/>
              </w:rPr>
              <w:t>neutre (-0.2)</w:t>
            </w:r>
          </w:p>
        </w:tc>
        <w:tc>
          <w:tcPr>
            <w:tcW w:type="dxa" w:w="4195"/>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814"/>
          </w:tcPr>
          <w:p>
            <w:r/>
            <w:r>
              <w:rPr>
                <w:sz w:val="16"/>
              </w:rPr>
              <w:t>La Niña (-1.0)</w:t>
            </w:r>
          </w:p>
        </w:tc>
        <w:tc>
          <w:tcPr>
            <w:tcW w:type="dxa" w:w="4195"/>
          </w:tcPr>
          <w:p>
            <w:r/>
            <w:r>
              <w:rPr>
                <w:sz w:val="16"/>
              </w:rPr>
            </w:r>
          </w:p>
        </w:tc>
      </w:tr>
    </w:tbl>
    <w:p/>
    <w:p>
      <w:r>
        <w:rPr>
          <w:b w:val="0"/>
          <w:i w:val="0"/>
          <w:sz w:val="20"/>
        </w:rPr>
        <w:t>Sur 23 campagnes, 15 ont une production sous la moyenne de leurs voisines ; écart-type des écarts 9.3 %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6120000" cy="2000268"/>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2000268"/>
                    </a:xfrm>
                    <a:prstGeom prst="rect"/>
                  </pic:spPr>
                </pic:pic>
              </a:graphicData>
            </a:graphic>
          </wp:inline>
        </w:drawing>
      </w:r>
    </w:p>
    <w:p>
      <w:r>
        <w:rPr>
          <w:b w:val="0"/>
          <w:i/>
          <w:color w:val="52514E"/>
          <w:sz w:val="16"/>
        </w:rPr>
        <w:t>Figure 4. Météo des États caféiers par phase ENSO (balance sheet).</w:t>
      </w:r>
    </w:p>
    <w:p>
      <w:r>
        <w:rPr>
          <w:b w:val="0"/>
          <w:i w:val="0"/>
          <w:sz w:val="20"/>
        </w:rPr>
        <w:t>Dans les données : les campagnes El Niño ont eu -33 mm de pluie à Minas Gerais et -118 mm en Espírito Santo, avec +0.36 °C et +0.46 °C, mais +142 mm au Paraná ; les campagnes La Niña +10 mm à Minas et -84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2346158"/>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8</w:t>
            </w:r>
          </w:p>
        </w:tc>
        <w:tc>
          <w:tcPr>
            <w:tcW w:type="dxa" w:w="1361"/>
          </w:tcPr>
          <w:p>
            <w:r/>
            <w:r>
              <w:rPr>
                <w:sz w:val="15"/>
              </w:rPr>
              <w:t>-4.4 %</w:t>
            </w:r>
          </w:p>
        </w:tc>
        <w:tc>
          <w:tcPr>
            <w:tcW w:type="dxa" w:w="1134"/>
          </w:tcPr>
          <w:p>
            <w:r/>
            <w:r>
              <w:rPr>
                <w:sz w:val="15"/>
              </w:rPr>
              <w:t>88 %</w:t>
            </w:r>
          </w:p>
        </w:tc>
        <w:tc>
          <w:tcPr>
            <w:tcW w:type="dxa" w:w="1361"/>
          </w:tcPr>
          <w:p>
            <w:r/>
            <w:r>
              <w:rPr>
                <w:sz w:val="15"/>
              </w:rPr>
              <w:t>-3.8 %</w:t>
            </w:r>
          </w:p>
        </w:tc>
        <w:tc>
          <w:tcPr>
            <w:tcW w:type="dxa" w:w="3402"/>
          </w:tcPr>
          <w:p>
            <w:r/>
            <w:r>
              <w:rPr>
                <w:sz w:val="15"/>
              </w:rPr>
              <w:t>2003/04 2005/06 2007/08 2010/11 2015/16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(-4.4 %)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(-3.8 %) : 63 502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