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(pic ≥ 1,6 : épisodes 2015/16, campagnes suivantes 2016/17) : Minas Gerais -86 mm et +0.7 °C, Espírito Santo -482 mm et +1.3 °C. Robusta -29.7 % par rapport à l'attendu, arabica +3.0 % (années ON, qui tiennent grâce au cycle), total -5.8 %.</w:t>
      </w:r>
    </w:p>
    <w:p>
      <w:pPr>
        <w:pStyle w:val="ListBullet"/>
      </w:pPr>
      <w:r>
        <w:rPr>
          <w:sz w:val="20"/>
        </w:rPr>
        <w:t>El Niño ordinaire (pic entre 0,6 et 1,6, 2023/24 inclus : 2004/05, 2006/07, 2009/10, 2014/15, 2018/19, 2023/24) : arabica -1.7 %, robusta -2.8 %, total -2.1 % ; Minas Gerais -42 mm, Espírito Santo -33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2002/03 (campagne 2003/04)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2001/02-2025/26, écart à la moyenne 1998-2025 (mêmes campagnes que les tableaux).</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+179 mm / -0.6 °C</w:t>
            </w:r>
          </w:p>
        </w:tc>
        <w:tc>
          <w:tcPr>
            <w:tcW w:type="dxa" w:w="1247"/>
          </w:tcPr>
          <w:p>
            <w:r/>
            <w:r>
              <w:rPr>
                <w:sz w:val="14"/>
              </w:rPr>
              <w:t>+408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+25 mm / -0.6 °C</w:t>
            </w:r>
          </w:p>
        </w:tc>
        <w:tc>
          <w:tcPr>
            <w:tcW w:type="dxa" w:w="1247"/>
          </w:tcPr>
          <w:p>
            <w:r/>
            <w:r>
              <w:rPr>
                <w:sz w:val="14"/>
              </w:rPr>
              <w:t>-22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+172 mm / -0.6 °C</w:t>
            </w:r>
          </w:p>
        </w:tc>
        <w:tc>
          <w:tcPr>
            <w:tcW w:type="dxa" w:w="1247"/>
          </w:tcPr>
          <w:p>
            <w:r/>
            <w:r>
              <w:rPr>
                <w:sz w:val="14"/>
              </w:rPr>
              <w:t>+152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+101 mm / -0.6 °C</w:t>
            </w:r>
          </w:p>
        </w:tc>
        <w:tc>
          <w:tcPr>
            <w:tcW w:type="dxa" w:w="1247"/>
          </w:tcPr>
          <w:p>
            <w:r/>
            <w:r>
              <w:rPr>
                <w:sz w:val="14"/>
              </w:rPr>
              <w:t>-218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+326 mm / -0.6 °C</w:t>
            </w:r>
          </w:p>
        </w:tc>
        <w:tc>
          <w:tcPr>
            <w:tcW w:type="dxa" w:w="1247"/>
          </w:tcPr>
          <w:p>
            <w:r/>
            <w:r>
              <w:rPr>
                <w:sz w:val="14"/>
              </w:rPr>
              <w:t>+256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-70 mm / -0.2 °C</w:t>
            </w:r>
          </w:p>
        </w:tc>
        <w:tc>
          <w:tcPr>
            <w:tcW w:type="dxa" w:w="1247"/>
          </w:tcPr>
          <w:p>
            <w:r/>
            <w:r>
              <w:rPr>
                <w:sz w:val="14"/>
              </w:rPr>
              <w:t>-66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+188 mm / -0.7 °C</w:t>
            </w:r>
          </w:p>
        </w:tc>
        <w:tc>
          <w:tcPr>
            <w:tcW w:type="dxa" w:w="1247"/>
          </w:tcPr>
          <w:p>
            <w:r/>
            <w:r>
              <w:rPr>
                <w:sz w:val="14"/>
              </w:rPr>
              <w:t>+184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+58 mm / -0.8 °C</w:t>
            </w:r>
          </w:p>
        </w:tc>
        <w:tc>
          <w:tcPr>
            <w:tcW w:type="dxa" w:w="1247"/>
          </w:tcPr>
          <w:p>
            <w:r/>
            <w:r>
              <w:rPr>
                <w:sz w:val="14"/>
              </w:rPr>
              <w:t>+116 mm / -0.7 °C</w:t>
            </w:r>
          </w:p>
        </w:tc>
      </w:tr>
      <w:tr>
        <w:tc>
          <w:tcPr>
            <w:tcW w:type="dxa" w:w="1247"/>
          </w:tcPr>
          <w:p>
            <w:r/>
            <w:r>
              <w:rPr>
                <w:sz w:val="14"/>
              </w:rPr>
              <w:t>2014/15 (+1.0)</w:t>
            </w:r>
          </w:p>
        </w:tc>
        <w:tc>
          <w:tcPr>
            <w:tcW w:type="dxa" w:w="1474"/>
          </w:tcPr>
          <w:p>
            <w:r/>
            <w:r>
              <w:rPr>
                <w:sz w:val="14"/>
              </w:rPr>
              <w:t>El Niño ordinaire</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-152 mm / +0.5 °C</w:t>
            </w:r>
          </w:p>
        </w:tc>
        <w:tc>
          <w:tcPr>
            <w:tcW w:type="dxa" w:w="1247"/>
          </w:tcPr>
          <w:p>
            <w:r/>
            <w:r>
              <w:rPr>
                <w:sz w:val="14"/>
              </w:rPr>
              <w:t>-336 mm / +0.6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-86 mm / +0.7 °C</w:t>
            </w:r>
          </w:p>
        </w:tc>
        <w:tc>
          <w:tcPr>
            <w:tcW w:type="dxa" w:w="1247"/>
          </w:tcPr>
          <w:p>
            <w:r/>
            <w:r>
              <w:rPr>
                <w:sz w:val="14"/>
              </w:rPr>
              <w:t>-482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-177 mm / +0.0 °C</w:t>
            </w:r>
          </w:p>
        </w:tc>
        <w:tc>
          <w:tcPr>
            <w:tcW w:type="dxa" w:w="1247"/>
          </w:tcPr>
          <w:p>
            <w:r/>
            <w:r>
              <w:rPr>
                <w:sz w:val="14"/>
              </w:rPr>
              <w:t>-82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-37 mm / +0.0 °C</w:t>
            </w:r>
          </w:p>
        </w:tc>
        <w:tc>
          <w:tcPr>
            <w:tcW w:type="dxa" w:w="1247"/>
          </w:tcPr>
          <w:p>
            <w:r/>
            <w:r>
              <w:rPr>
                <w:sz w:val="14"/>
              </w:rPr>
              <w:t>+34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+36 mm / +0.4 °C</w:t>
            </w:r>
          </w:p>
        </w:tc>
        <w:tc>
          <w:tcPr>
            <w:tcW w:type="dxa" w:w="1247"/>
          </w:tcPr>
          <w:p>
            <w:r/>
            <w:r>
              <w:rPr>
                <w:sz w:val="14"/>
              </w:rPr>
              <w:t>-16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+5 mm / +0.1 °C</w:t>
            </w:r>
          </w:p>
        </w:tc>
        <w:tc>
          <w:tcPr>
            <w:tcW w:type="dxa" w:w="1247"/>
          </w:tcPr>
          <w:p>
            <w:r/>
            <w:r>
              <w:rPr>
                <w:sz w:val="14"/>
              </w:rPr>
              <w:t>+118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-335 mm / +0.7 °C</w:t>
            </w:r>
          </w:p>
        </w:tc>
        <w:tc>
          <w:tcPr>
            <w:tcW w:type="dxa" w:w="1247"/>
          </w:tcPr>
          <w:p>
            <w:r/>
            <w:r>
              <w:rPr>
                <w:sz w:val="14"/>
              </w:rPr>
              <w:t>-200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+203 mm / -0.5 °C</w:t>
            </w:r>
          </w:p>
        </w:tc>
        <w:tc>
          <w:tcPr>
            <w:tcW w:type="dxa" w:w="1247"/>
          </w:tcPr>
          <w:p>
            <w:r/>
            <w:r>
              <w:rPr>
                <w:sz w:val="14"/>
              </w:rPr>
              <w:t>+22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+15 mm / +0.0 °C</w:t>
            </w:r>
          </w:p>
        </w:tc>
        <w:tc>
          <w:tcPr>
            <w:tcW w:type="dxa" w:w="1247"/>
          </w:tcPr>
          <w:p>
            <w:r/>
            <w:r>
              <w:rPr>
                <w:sz w:val="14"/>
              </w:rPr>
              <w:t>+62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-414 mm / +2.3 °C</w:t>
            </w:r>
          </w:p>
        </w:tc>
        <w:tc>
          <w:tcPr>
            <w:tcW w:type="dxa" w:w="1247"/>
          </w:tcPr>
          <w:p>
            <w:r/>
            <w:r>
              <w:rPr>
                <w:sz w:val="14"/>
              </w:rPr>
              <w:t>-338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-86 mm / +0.7 °C</w:t>
            </w:r>
          </w:p>
        </w:tc>
        <w:tc>
          <w:tcPr>
            <w:tcW w:type="dxa" w:w="1304"/>
          </w:tcPr>
          <w:p>
            <w:r/>
            <w:r>
              <w:rPr>
                <w:sz w:val="14"/>
              </w:rPr>
              <w:t>-482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6</w:t>
            </w:r>
          </w:p>
        </w:tc>
        <w:tc>
          <w:tcPr>
            <w:tcW w:type="dxa" w:w="850"/>
          </w:tcPr>
          <w:p>
            <w:r/>
            <w:r>
              <w:rPr>
                <w:sz w:val="14"/>
              </w:rPr>
              <w:t>-1.7 %</w:t>
            </w:r>
          </w:p>
        </w:tc>
        <w:tc>
          <w:tcPr>
            <w:tcW w:type="dxa" w:w="850"/>
          </w:tcPr>
          <w:p>
            <w:r/>
            <w:r>
              <w:rPr>
                <w:sz w:val="14"/>
              </w:rPr>
              <w:t>-2.8 %</w:t>
            </w:r>
          </w:p>
        </w:tc>
        <w:tc>
          <w:tcPr>
            <w:tcW w:type="dxa" w:w="850"/>
          </w:tcPr>
          <w:p>
            <w:r/>
            <w:r>
              <w:rPr>
                <w:sz w:val="14"/>
              </w:rPr>
              <w:t>-2.1 %</w:t>
            </w:r>
          </w:p>
        </w:tc>
        <w:tc>
          <w:tcPr>
            <w:tcW w:type="dxa" w:w="907"/>
          </w:tcPr>
          <w:p>
            <w:r/>
            <w:r>
              <w:rPr>
                <w:sz w:val="14"/>
              </w:rPr>
              <w:t>-1.4 %</w:t>
            </w:r>
          </w:p>
        </w:tc>
        <w:tc>
          <w:tcPr>
            <w:tcW w:type="dxa" w:w="1304"/>
          </w:tcPr>
          <w:p>
            <w:r/>
            <w:r>
              <w:rPr>
                <w:sz w:val="14"/>
              </w:rPr>
              <w:t>-42 mm / +0.3 °C</w:t>
            </w:r>
          </w:p>
        </w:tc>
        <w:tc>
          <w:tcPr>
            <w:tcW w:type="dxa" w:w="1304"/>
          </w:tcPr>
          <w:p>
            <w:r/>
            <w:r>
              <w:rPr>
                <w:sz w:val="14"/>
              </w:rPr>
              <w:t>-33 mm / +0.3 °C</w:t>
            </w:r>
          </w:p>
        </w:tc>
        <w:tc>
          <w:tcPr>
            <w:tcW w:type="dxa" w:w="1984"/>
          </w:tcPr>
          <w:p>
            <w:r/>
            <w:r>
              <w:rPr>
                <w:sz w:val="14"/>
              </w:rPr>
              <w:t>2005/06 2007/08 2010/11 2015/16 2019/20 2024/25</w:t>
            </w:r>
          </w:p>
        </w:tc>
      </w:tr>
      <w:tr>
        <w:tc>
          <w:tcPr>
            <w:tcW w:type="dxa" w:w="1587"/>
          </w:tcPr>
          <w:p>
            <w:r/>
            <w:r>
              <w:rPr>
                <w:sz w:val="14"/>
              </w:rPr>
              <w:t>La Niña ordinaire</w:t>
            </w:r>
          </w:p>
        </w:tc>
        <w:tc>
          <w:tcPr>
            <w:tcW w:type="dxa" w:w="454"/>
          </w:tcPr>
          <w:p>
            <w:r/>
            <w:r>
              <w:rPr>
                <w:sz w:val="14"/>
              </w:rPr>
              <w:t>9</w:t>
            </w:r>
          </w:p>
        </w:tc>
        <w:tc>
          <w:tcPr>
            <w:tcW w:type="dxa" w:w="850"/>
          </w:tcPr>
          <w:p>
            <w:r/>
            <w:r>
              <w:rPr>
                <w:sz w:val="14"/>
              </w:rPr>
              <w:t>+1.1 %</w:t>
            </w:r>
          </w:p>
        </w:tc>
        <w:tc>
          <w:tcPr>
            <w:tcW w:type="dxa" w:w="850"/>
          </w:tcPr>
          <w:p>
            <w:r/>
            <w:r>
              <w:rPr>
                <w:sz w:val="14"/>
              </w:rPr>
              <w:t>-0.4 %</w:t>
            </w:r>
          </w:p>
        </w:tc>
        <w:tc>
          <w:tcPr>
            <w:tcW w:type="dxa" w:w="850"/>
          </w:tcPr>
          <w:p>
            <w:r/>
            <w:r>
              <w:rPr>
                <w:sz w:val="14"/>
              </w:rPr>
              <w:t>+0.6 %</w:t>
            </w:r>
          </w:p>
        </w:tc>
        <w:tc>
          <w:tcPr>
            <w:tcW w:type="dxa" w:w="907"/>
          </w:tcPr>
          <w:p>
            <w:r/>
            <w:r>
              <w:rPr>
                <w:sz w:val="14"/>
              </w:rPr>
              <w:t>-0.1 %</w:t>
            </w:r>
          </w:p>
        </w:tc>
        <w:tc>
          <w:tcPr>
            <w:tcW w:type="dxa" w:w="1304"/>
          </w:tcPr>
          <w:p>
            <w:r/>
            <w:r>
              <w:rPr>
                <w:sz w:val="14"/>
              </w:rPr>
              <w:t>+9 mm / -0.1 °C</w:t>
            </w:r>
          </w:p>
        </w:tc>
        <w:tc>
          <w:tcPr>
            <w:tcW w:type="dxa" w:w="1304"/>
          </w:tcPr>
          <w:p>
            <w:r/>
            <w:r>
              <w:rPr>
                <w:sz w:val="14"/>
              </w:rPr>
              <w:t>+34 mm / -0.2 °C</w:t>
            </w:r>
          </w:p>
        </w:tc>
        <w:tc>
          <w:tcPr>
            <w:tcW w:type="dxa" w:w="1984"/>
          </w:tcPr>
          <w:p>
            <w:r/>
            <w:r>
              <w:rPr>
                <w:sz w:val="14"/>
              </w:rPr>
              <w:t>2006/07 2009/10 2012/13 2017/18 2018/19 2020/21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+144 mm / -0.6 °C</w:t>
            </w:r>
          </w:p>
        </w:tc>
        <w:tc>
          <w:tcPr>
            <w:tcW w:type="dxa" w:w="1304"/>
          </w:tcPr>
          <w:p>
            <w:r/>
            <w:r>
              <w:rPr>
                <w:sz w:val="14"/>
              </w:rPr>
              <w:t>-16 mm / -0.4 °C</w:t>
            </w:r>
          </w:p>
        </w:tc>
        <w:tc>
          <w:tcPr>
            <w:tcW w:type="dxa" w:w="1984"/>
          </w:tcPr>
          <w:p>
            <w:r/>
            <w:r>
              <w:rPr>
                <w:sz w:val="14"/>
              </w:rPr>
              <w:t>2008/09 2011/12</w:t>
            </w:r>
          </w:p>
        </w:tc>
      </w:tr>
    </w:tbl>
    <w:p/>
    <w:p>
      <w:r>
        <w:rPr>
          <w:b w:val="0"/>
          <w:i w:val="0"/>
          <w:sz w:val="20"/>
        </w:rPr>
        <w:t>Lecture : les El Niño forts de la période (2015/16) ont donné des campagnes N+1 avec -482 mm et +1.3 °C en Espírito Santo et -86 mm, +0.7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-48 mm de pluie à Minas Gerais et -97 mm en Espírito Santo, avec +0.40 °C et +0.45 °C, mais +121 mm au Paraná ; les campagnes La Niña +3 mm à Minas et -82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-6.1 %</w:t>
            </w:r>
          </w:p>
        </w:tc>
        <w:tc>
          <w:tcPr>
            <w:tcW w:type="dxa" w:w="1134"/>
          </w:tcPr>
          <w:p>
            <w:r/>
            <w:r>
              <w:rPr>
                <w:sz w:val="15"/>
              </w:rPr>
              <w:t>100 %</w:t>
            </w:r>
          </w:p>
        </w:tc>
        <w:tc>
          <w:tcPr>
            <w:tcW w:type="dxa" w:w="1361"/>
          </w:tcPr>
          <w:p>
            <w:r/>
            <w:r>
              <w:rPr>
                <w:sz w:val="15"/>
              </w:rPr>
              <w:t>-5.8 %</w:t>
            </w:r>
          </w:p>
        </w:tc>
        <w:tc>
          <w:tcPr>
            <w:tcW w:type="dxa" w:w="3402"/>
          </w:tcPr>
          <w:p>
            <w:r/>
            <w:r>
              <w:rPr>
                <w:sz w:val="15"/>
              </w:rPr>
              <w:t>2016/17</w:t>
            </w:r>
          </w:p>
        </w:tc>
      </w:tr>
      <w:tr>
        <w:tc>
          <w:tcPr>
            <w:tcW w:type="dxa" w:w="1814"/>
          </w:tcPr>
          <w:p>
            <w:r/>
            <w:r>
              <w:rPr>
                <w:sz w:val="15"/>
              </w:rPr>
              <w:t>El Niño (0,5 à 1,6)</w:t>
            </w:r>
          </w:p>
        </w:tc>
        <w:tc>
          <w:tcPr>
            <w:tcW w:type="dxa" w:w="567"/>
          </w:tcPr>
          <w:p>
            <w:r/>
            <w:r>
              <w:rPr>
                <w:sz w:val="15"/>
              </w:rPr>
              <w:t>6</w:t>
            </w:r>
          </w:p>
        </w:tc>
        <w:tc>
          <w:tcPr>
            <w:tcW w:type="dxa" w:w="1361"/>
          </w:tcPr>
          <w:p>
            <w:r/>
            <w:r>
              <w:rPr>
                <w:sz w:val="15"/>
              </w:rPr>
              <w:t>-1.4 %</w:t>
            </w:r>
          </w:p>
        </w:tc>
        <w:tc>
          <w:tcPr>
            <w:tcW w:type="dxa" w:w="1134"/>
          </w:tcPr>
          <w:p>
            <w:r/>
            <w:r>
              <w:rPr>
                <w:sz w:val="15"/>
              </w:rPr>
              <w:t>83 %</w:t>
            </w:r>
          </w:p>
        </w:tc>
        <w:tc>
          <w:tcPr>
            <w:tcW w:type="dxa" w:w="1361"/>
          </w:tcPr>
          <w:p>
            <w:r/>
            <w:r>
              <w:rPr>
                <w:sz w:val="15"/>
              </w:rPr>
              <w:t>-2.1 %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4</w:t>
            </w:r>
          </w:p>
        </w:tc>
        <w:tc>
          <w:tcPr>
            <w:tcW w:type="dxa" w:w="1361"/>
          </w:tcPr>
          <w:p>
            <w:r/>
            <w:r>
              <w:rPr>
                <w:sz w:val="15"/>
              </w:rPr>
              <w:t>+10.8 %</w:t>
            </w:r>
          </w:p>
        </w:tc>
        <w:tc>
          <w:tcPr>
            <w:tcW w:type="dxa" w:w="1134"/>
          </w:tcPr>
          <w:p>
            <w:r/>
            <w:r>
              <w:rPr>
                <w:sz w:val="15"/>
              </w:rPr>
              <w:t>50 %</w:t>
            </w:r>
          </w:p>
        </w:tc>
        <w:tc>
          <w:tcPr>
            <w:tcW w:type="dxa" w:w="1361"/>
          </w:tcPr>
          <w:p>
            <w:r/>
            <w:r>
              <w:rPr>
                <w:sz w:val="15"/>
              </w:rPr>
              <w:t>+7.8 %</w:t>
            </w:r>
          </w:p>
        </w:tc>
        <w:tc>
          <w:tcPr>
            <w:tcW w:type="dxa" w:w="3402"/>
          </w:tcPr>
          <w:p>
            <w:r/>
            <w:r>
              <w:rPr>
                <w:sz w:val="15"/>
              </w:rPr>
              <w:t>2002/03 2004/05 2013/14 2014/15</w:t>
            </w:r>
          </w:p>
        </w:tc>
      </w:tr>
      <w:tr>
        <w:tc>
          <w:tcPr>
            <w:tcW w:type="dxa" w:w="1814"/>
          </w:tcPr>
          <w:p>
            <w:r/>
            <w:r>
              <w:rPr>
                <w:sz w:val="15"/>
              </w:rPr>
              <w:t>La Niña</w:t>
            </w:r>
          </w:p>
        </w:tc>
        <w:tc>
          <w:tcPr>
            <w:tcW w:type="dxa" w:w="567"/>
          </w:tcPr>
          <w:p>
            <w:r/>
            <w:r>
              <w:rPr>
                <w:sz w:val="15"/>
              </w:rPr>
              <w:t>9</w:t>
            </w:r>
          </w:p>
        </w:tc>
        <w:tc>
          <w:tcPr>
            <w:tcW w:type="dxa" w:w="1361"/>
          </w:tcPr>
          <w:p>
            <w:r/>
            <w:r>
              <w:rPr>
                <w:sz w:val="15"/>
              </w:rPr>
              <w:t>-0.1 %</w:t>
            </w:r>
          </w:p>
        </w:tc>
        <w:tc>
          <w:tcPr>
            <w:tcW w:type="dxa" w:w="1134"/>
          </w:tcPr>
          <w:p>
            <w:r/>
            <w:r>
              <w:rPr>
                <w:sz w:val="15"/>
              </w:rPr>
              <w:t>44 %</w:t>
            </w:r>
          </w:p>
        </w:tc>
        <w:tc>
          <w:tcPr>
            <w:tcW w:type="dxa" w:w="1361"/>
          </w:tcPr>
          <w:p>
            <w:r/>
            <w:r>
              <w:rPr>
                <w:sz w:val="15"/>
              </w:rPr>
              <w:t>+0.6 %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+2.4 %</w:t>
            </w:r>
          </w:p>
        </w:tc>
        <w:tc>
          <w:tcPr>
            <w:tcW w:type="dxa" w:w="1134"/>
          </w:tcPr>
          <w:p>
            <w:r/>
            <w:r>
              <w:rPr>
                <w:sz w:val="15"/>
              </w:rPr>
              <w:t>50 %</w:t>
            </w:r>
          </w:p>
        </w:tc>
        <w:tc>
          <w:tcPr>
            <w:tcW w:type="dxa" w:w="1361"/>
          </w:tcPr>
          <w:p>
            <w:r/>
            <w:r>
              <w:rPr>
                <w:sz w:val="15"/>
              </w:rPr>
              <w:t>+3.0 %</w:t>
            </w:r>
          </w:p>
        </w:tc>
        <w:tc>
          <w:tcPr>
            <w:tcW w:type="dxa" w:w="3402"/>
          </w:tcPr>
          <w:p>
            <w:r/>
            <w:r>
              <w:rPr>
                <w:sz w:val="15"/>
              </w:rPr>
              <w:t>2008/09 2011/12</w:t>
            </w:r>
          </w:p>
        </w:tc>
      </w:tr>
    </w:tbl>
    <w:p/>
    <w:p>
      <w:r>
        <w:rPr>
          <w:b w:val="0"/>
          <w:i w:val="0"/>
          <w:sz w:val="20"/>
        </w:rPr>
        <w:t>Lecture : pour Brésil, El Niño est historiquement négatif pour le rendement (-2.1 %) et La Niña neutre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(-2.6 %) : 64 301 ; avec l'effet des El Niño forts (-3.8 %) : 63 508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-1.7 % → 42 388, robusta -2.8 % → 22 549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33.61</w:t>
            </w:r>
          </w:p>
        </w:tc>
        <w:tc>
          <w:tcPr>
            <w:tcW w:type="dxa" w:w="850"/>
          </w:tcPr>
          <w:p>
            <w:r/>
            <w:r>
              <w:rPr>
                <w:sz w:val="14"/>
              </w:rPr>
              <w:t>6 972</w:t>
            </w:r>
          </w:p>
        </w:tc>
        <w:tc>
          <w:tcPr>
            <w:tcW w:type="dxa" w:w="907"/>
          </w:tcPr>
          <w:p>
            <w:r/>
            <w:r>
              <w:rPr>
                <w:sz w:val="14"/>
              </w:rPr>
              <w:t>1 479</w:t>
            </w:r>
          </w:p>
        </w:tc>
        <w:tc>
          <w:tcPr>
            <w:tcW w:type="dxa" w:w="964"/>
          </w:tcPr>
          <w:p>
            <w:r/>
            <w:r>
              <w:rPr>
                <w:sz w:val="14"/>
              </w:rPr>
              <w:t>42 388</w:t>
            </w:r>
          </w:p>
        </w:tc>
        <w:tc>
          <w:tcPr>
            <w:tcW w:type="dxa" w:w="964"/>
          </w:tcPr>
          <w:p>
            <w:r/>
            <w:r>
              <w:rPr>
                <w:sz w:val="14"/>
              </w:rPr>
              <w:t>22 549</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(-1.7 % historique) : 42 388 ; avec El Niño fort (+3.0 %) : 44 426.</w:t>
      </w:r>
    </w:p>
    <w:p>
      <w:pPr>
        <w:pStyle w:val="ListBullet"/>
      </w:pPr>
      <w:r>
        <w:rPr>
          <w:sz w:val="17"/>
        </w:rPr>
        <w:t>Robusta 23 196 = 7 813 + 570 × 27 campagnes (le report de surprise de 2025/26 ne joue plus). Avec El Niño ordinaire (-2.8 %) : 22 549 ; avec El Niño fort (-29.7 %) : 16 298.</w:t>
      </w:r>
    </w:p>
    <w:p>
      <w:pPr>
        <w:pStyle w:val="ListBullet"/>
      </w:pPr>
      <w:r>
        <w:rPr>
          <w:sz w:val="17"/>
        </w:rPr>
        <w:t>Rendement 34.33 = (43 119 + 23 196) / 1 932 ; El Niño ordinaire 33.61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(42 388) et la météo normale (43 119) ; robusta 22 226 est proche de mon El Niño ordinaire (22 549)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