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official ONI/RONI table /home/user/procafe/timeseries/data/oni.csv.</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+1.2 % (5 campagnes, 20 % sous la moyenne). La Niña : -0.9 % (14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(-1.0)</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(-1.1)</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(-1.0)</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(+1.5)</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(-1.1)</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+4.1 %</w:t>
            </w:r>
          </w:p>
        </w:tc>
        <w:tc>
          <w:tcPr>
            <w:tcW w:type="dxa" w:w="1134"/>
          </w:tcPr>
          <w:p>
            <w:r/>
            <w:r>
              <w:rPr>
                <w:sz w:val="15"/>
              </w:rPr>
              <w:t>0 %</w:t>
            </w:r>
          </w:p>
        </w:tc>
        <w:tc>
          <w:tcPr>
            <w:tcW w:type="dxa" w:w="1361"/>
          </w:tcPr>
          <w:p>
            <w:r/>
            <w:r>
              <w:rPr>
                <w:sz w:val="15"/>
              </w:rPr>
              <w:t>+4.1 %</w:t>
            </w:r>
          </w:p>
        </w:tc>
        <w:tc>
          <w:tcPr>
            <w:tcW w:type="dxa" w:w="3402"/>
          </w:tcPr>
          <w:p>
            <w:r/>
            <w:r>
              <w:rPr>
                <w:sz w:val="15"/>
              </w:rPr>
              <w:t>2015/16</w:t>
            </w:r>
          </w:p>
        </w:tc>
      </w:tr>
      <w:tr>
        <w:tc>
          <w:tcPr>
            <w:tcW w:type="dxa" w:w="1814"/>
          </w:tcPr>
          <w:p>
            <w:r/>
            <w:r>
              <w:rPr>
                <w:sz w:val="15"/>
              </w:rPr>
              <w:t>El Niño (0,5 à 1,6)</w:t>
            </w:r>
          </w:p>
        </w:tc>
        <w:tc>
          <w:tcPr>
            <w:tcW w:type="dxa" w:w="567"/>
          </w:tcPr>
          <w:p>
            <w:r/>
            <w:r>
              <w:rPr>
                <w:sz w:val="15"/>
              </w:rPr>
              <w:t>7</w:t>
            </w:r>
          </w:p>
        </w:tc>
        <w:tc>
          <w:tcPr>
            <w:tcW w:type="dxa" w:w="1361"/>
          </w:tcPr>
          <w:p>
            <w:r/>
            <w:r>
              <w:rPr>
                <w:sz w:val="15"/>
              </w:rPr>
              <w:t>+1.5 %</w:t>
            </w:r>
          </w:p>
        </w:tc>
        <w:tc>
          <w:tcPr>
            <w:tcW w:type="dxa" w:w="1134"/>
          </w:tcPr>
          <w:p>
            <w:r/>
            <w:r>
              <w:rPr>
                <w:sz w:val="15"/>
              </w:rPr>
              <w:t>29 %</w:t>
            </w:r>
          </w:p>
        </w:tc>
        <w:tc>
          <w:tcPr>
            <w:tcW w:type="dxa" w:w="1361"/>
          </w:tcPr>
          <w:p>
            <w:r/>
            <w:r>
              <w:rPr>
                <w:sz w:val="15"/>
              </w:rPr>
              <w:t>+1.0 %</w:t>
            </w:r>
          </w:p>
        </w:tc>
        <w:tc>
          <w:tcPr>
            <w:tcW w:type="dxa" w:w="3402"/>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361"/>
          </w:tcPr>
          <w:p>
            <w:r/>
            <w:r>
              <w:rPr>
                <w:sz w:val="15"/>
              </w:rPr>
              <w:t>+0.1 %</w:t>
            </w:r>
          </w:p>
        </w:tc>
        <w:tc>
          <w:tcPr>
            <w:tcW w:type="dxa" w:w="1134"/>
          </w:tcPr>
          <w:p>
            <w:r/>
            <w:r>
              <w:rPr>
                <w:sz w:val="15"/>
              </w:rPr>
              <w:t>50 %</w:t>
            </w:r>
          </w:p>
        </w:tc>
        <w:tc>
          <w:tcPr>
            <w:tcW w:type="dxa" w:w="1361"/>
          </w:tcPr>
          <w:p>
            <w:r/>
            <w:r>
              <w:rPr>
                <w:sz w:val="15"/>
              </w:rPr>
              <w:t>+0.1 %</w:t>
            </w:r>
          </w:p>
        </w:tc>
        <w:tc>
          <w:tcPr>
            <w:tcW w:type="dxa" w:w="3402"/>
          </w:tcPr>
          <w:p>
            <w:r/>
            <w:r>
              <w:rPr>
                <w:sz w:val="15"/>
              </w:rPr>
              <w:t>2001/02 2003/04 2012/13 2013/14</w:t>
            </w:r>
          </w:p>
        </w:tc>
      </w:tr>
      <w:tr>
        <w:tc>
          <w:tcPr>
            <w:tcW w:type="dxa" w:w="1814"/>
          </w:tcPr>
          <w:p>
            <w:r/>
            <w:r>
              <w:rPr>
                <w:sz w:val="15"/>
              </w:rPr>
              <w:t>La Niña</w:t>
            </w:r>
          </w:p>
        </w:tc>
        <w:tc>
          <w:tcPr>
            <w:tcW w:type="dxa" w:w="567"/>
          </w:tcPr>
          <w:p>
            <w:r/>
            <w:r>
              <w:rPr>
                <w:sz w:val="15"/>
              </w:rPr>
              <w:t>11</w:t>
            </w:r>
          </w:p>
        </w:tc>
        <w:tc>
          <w:tcPr>
            <w:tcW w:type="dxa" w:w="1361"/>
          </w:tcPr>
          <w:p>
            <w:r/>
            <w:r>
              <w:rPr>
                <w:sz w:val="15"/>
              </w:rPr>
              <w:t>-2.4 %</w:t>
            </w:r>
          </w:p>
        </w:tc>
        <w:tc>
          <w:tcPr>
            <w:tcW w:type="dxa" w:w="1134"/>
          </w:tcPr>
          <w:p>
            <w:r/>
            <w:r>
              <w:rPr>
                <w:sz w:val="15"/>
              </w:rPr>
              <w:t>55 %</w:t>
            </w:r>
          </w:p>
        </w:tc>
        <w:tc>
          <w:tcPr>
            <w:tcW w:type="dxa" w:w="1361"/>
          </w:tcPr>
          <w:p>
            <w:r/>
            <w:r>
              <w:rPr>
                <w:sz w:val="15"/>
              </w:rPr>
              <w:t>-2.3 %</w:t>
            </w:r>
          </w:p>
        </w:tc>
        <w:tc>
          <w:tcPr>
            <w:tcW w:type="dxa" w:w="3402"/>
          </w:tcPr>
          <w:p>
            <w:r/>
            <w:r>
              <w:rPr>
                <w:sz w:val="15"/>
              </w:rPr>
              <w:t>2000/01 2005/06 2008/09 2011/12 2016/17 2017/18 2019/20 2020/21 2021/22 2022/23 2024/25</w:t>
            </w:r>
          </w:p>
        </w:tc>
      </w:tr>
      <w:tr>
        <w:tc>
          <w:tcPr>
            <w:tcW w:type="dxa" w:w="1814"/>
          </w:tcPr>
          <w:p>
            <w:r/>
            <w:r>
              <w:rPr>
                <w:sz w:val="15"/>
              </w:rPr>
              <w:t>La Niña forte (≤ −1,6)</w:t>
            </w:r>
          </w:p>
        </w:tc>
        <w:tc>
          <w:tcPr>
            <w:tcW w:type="dxa" w:w="567"/>
          </w:tcPr>
          <w:p>
            <w:r/>
            <w:r>
              <w:rPr>
                <w:sz w:val="15"/>
              </w:rPr>
              <w:t>3</w:t>
            </w:r>
          </w:p>
        </w:tc>
        <w:tc>
          <w:tcPr>
            <w:tcW w:type="dxa" w:w="1361"/>
          </w:tcPr>
          <w:p>
            <w:r/>
            <w:r>
              <w:rPr>
                <w:sz w:val="15"/>
              </w:rPr>
              <w:t>+4.4 %</w:t>
            </w:r>
          </w:p>
        </w:tc>
        <w:tc>
          <w:tcPr>
            <w:tcW w:type="dxa" w:w="1134"/>
          </w:tcPr>
          <w:p>
            <w:r/>
            <w:r>
              <w:rPr>
                <w:sz w:val="15"/>
              </w:rPr>
              <w:t>67 %</w:t>
            </w:r>
          </w:p>
        </w:tc>
        <w:tc>
          <w:tcPr>
            <w:tcW w:type="dxa" w:w="1361"/>
          </w:tcPr>
          <w:p>
            <w:r/>
            <w:r>
              <w:rPr>
                <w:sz w:val="15"/>
              </w:rPr>
              <w:t>+4.8 %</w:t>
            </w:r>
          </w:p>
        </w:tc>
        <w:tc>
          <w:tcPr>
            <w:tcW w:type="dxa" w:w="3402"/>
          </w:tcPr>
          <w:p>
            <w:r/>
            <w:r>
              <w:rPr>
                <w:sz w:val="15"/>
              </w:rPr>
              <w:t>1999/00 2007/08 2010/11</w:t>
            </w:r>
          </w:p>
        </w:tc>
      </w:tr>
    </w:tbl>
    <w:p/>
    <w:p>
      <w:r>
        <w:rPr>
          <w:b w:val="0"/>
          <w:i w:val="0"/>
          <w:sz w:val="20"/>
        </w:rPr>
        <w:t>Lecture : pour Colombie, El Niño est historiquement positif pour le rendement (+1.8 %)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(+0.9 %) : 13 525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