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4472C4" w:sz="12" w:space="6"/>
        </w:pBdr>
        <w:spacing w:after="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Veille météo café — COLOMBIE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Où regarder, pour quoi, à quelle fréquence. Régime bimodal, deux récoltes par an.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1. Les sources, par ordre d'utilité</w:t>
      </w:r>
    </w:p>
    <w:tbl>
      <w:tblPr>
        <w:tblW w:type="dxa" w:w="9866"/>
        <w:tblBorders>
          <w:top w:val="single" w:color="D9D9D9" w:sz="4"/>
          <w:left w:val="none" w:color="FFFFFF" w:sz="0"/>
          <w:bottom w:val="single" w:color="D9D9D9" w:sz="4"/>
          <w:right w:val="none" w:color="FFFFFF" w:sz="0"/>
          <w:insideH w:val="single" w:color="D9D9D9" w:sz="4"/>
          <w:insideV w:val="none" w:color="FFFFFF" w:sz="0"/>
        </w:tblBorders>
      </w:tblPr>
      <w:tblGrid>
        <w:gridCol w:w="1650"/>
        <w:gridCol w:w="3500"/>
        <w:gridCol w:w="1750"/>
        <w:gridCol w:w="2966"/>
      </w:tblGrid>
      <w:tr>
        <w:trPr>
          <w:tblHeader/>
        </w:trPr>
        <w:tc>
          <w:tcPr>
            <w:tcW w:type="dxa" w:w="1650"/>
            <w:shd w:fill="1B2A4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3500"/>
            <w:shd w:fill="1B2A4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 que tu y trouves</w:t>
            </w:r>
          </w:p>
        </w:tc>
        <w:tc>
          <w:tcPr>
            <w:tcW w:type="dxa" w:w="1750"/>
            <w:shd w:fill="1B2A4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Quand y aller</w:t>
            </w:r>
          </w:p>
        </w:tc>
        <w:tc>
          <w:tcPr>
            <w:tcW w:type="dxa" w:w="2966"/>
            <w:shd w:fill="1B2A4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Lien</w:t>
            </w:r>
          </w:p>
        </w:tc>
      </w:tr>
      <w:tr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IDEAM</w:t>
            </w:r>
          </w:p>
        </w:tc>
        <w:tc>
          <w:tcPr>
            <w:tcW w:type="dxa" w:w="3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Service météo national : prévisions, radar, pluie par station, alertes, bulletins ENSO officiels.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Quotidien</w:t>
            </w:r>
          </w:p>
        </w:tc>
        <w:tc>
          <w:tcPr>
            <w:tcW w:type="dxa" w:w="2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h5ul6kn3j158ojkbivxde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www.ideam.gov.co</w:t>
              </w:r>
            </w:hyperlink>
          </w:p>
        </w:tc>
      </w:tr>
      <w:tr>
        <w:tc>
          <w:tcPr>
            <w:tcW w:type="dxa" w:w="16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Cenicafé (FNC)</w:t>
            </w:r>
          </w:p>
        </w:tc>
        <w:tc>
          <w:tcPr>
            <w:tcW w:type="dxa" w:w="35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Stations situées dans les zones caféières + bulletin agroclimatique café (floraison, roya, broca). La source la plus fine.</w:t>
            </w:r>
          </w:p>
        </w:tc>
        <w:tc>
          <w:tcPr>
            <w:tcW w:type="dxa" w:w="17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Mensuel</w:t>
            </w:r>
          </w:p>
        </w:tc>
        <w:tc>
          <w:tcPr>
            <w:tcW w:type="dxa" w:w="2966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oqu3ub3skryw3fv38poyx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www.cenicafe.org</w:t>
              </w:r>
            </w:hyperlink>
          </w:p>
        </w:tc>
      </w:tr>
      <w:tr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Fed. Nac. de Cafeteros</w:t>
            </w:r>
          </w:p>
        </w:tc>
        <w:tc>
          <w:tcPr>
            <w:tcW w:type="dxa" w:w="3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Production et exportations mensuelles, état de la récolte.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Mensuel (vers le 5-10)</w:t>
            </w:r>
          </w:p>
        </w:tc>
        <w:tc>
          <w:tcPr>
            <w:tcW w:type="dxa" w:w="2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k-on1mbfpufkzhhpxvt3s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federaciondecafeteros.org</w:t>
              </w:r>
            </w:hyperlink>
          </w:p>
        </w:tc>
      </w:tr>
      <w:tr>
        <w:tc>
          <w:tcPr>
            <w:tcW w:type="dxa" w:w="16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Windy</w:t>
            </w:r>
          </w:p>
        </w:tc>
        <w:tc>
          <w:tcPr>
            <w:tcW w:type="dxa" w:w="35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ECMWF / GFS / ICON comparés sur un même point, 1 à 15 j. Le meilleur pour voir si les modèles divergent.</w:t>
            </w:r>
          </w:p>
        </w:tc>
        <w:tc>
          <w:tcPr>
            <w:tcW w:type="dxa" w:w="17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Quotidien</w:t>
            </w:r>
          </w:p>
        </w:tc>
        <w:tc>
          <w:tcPr>
            <w:tcW w:type="dxa" w:w="2966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uwcuobyg4sxrzb_nujz2n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www.windy.com</w:t>
              </w:r>
            </w:hyperlink>
          </w:p>
        </w:tc>
      </w:tr>
      <w:tr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Meteoblue</w:t>
            </w:r>
          </w:p>
        </w:tc>
        <w:tc>
          <w:tcPr>
            <w:tcW w:type="dxa" w:w="3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Meteogram multimodèle 14 j par municipe, relief fin — décisif entre 1 200 et 2 000 m.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2-3 fois/semaine</w:t>
            </w:r>
          </w:p>
        </w:tc>
        <w:tc>
          <w:tcPr>
            <w:tcW w:type="dxa" w:w="2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wuchosnrxamuvfe5nphdb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www.meteoblue.com</w:t>
              </w:r>
            </w:hyperlink>
          </w:p>
        </w:tc>
      </w:tr>
      <w:tr>
        <w:tc>
          <w:tcPr>
            <w:tcW w:type="dxa" w:w="16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Zoom Earth</w:t>
            </w:r>
          </w:p>
        </w:tc>
        <w:tc>
          <w:tcPr>
            <w:tcW w:type="dxa" w:w="35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Satellite GOES-16 quasi temps réel : convection de l'après-midi.</w:t>
            </w:r>
          </w:p>
        </w:tc>
        <w:tc>
          <w:tcPr>
            <w:tcW w:type="dxa" w:w="17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Pendant un épisode</w:t>
            </w:r>
          </w:p>
        </w:tc>
        <w:tc>
          <w:tcPr>
            <w:tcW w:type="dxa" w:w="2966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-lhdhg8jb9dlceqsn8xys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zoom.earth</w:t>
              </w:r>
            </w:hyperlink>
          </w:p>
        </w:tc>
      </w:tr>
      <w:tr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NOAA CPC</w:t>
            </w:r>
          </w:p>
        </w:tc>
        <w:tc>
          <w:tcPr>
            <w:tcW w:type="dxa" w:w="3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ENSO Diagnostic Discussion (statut officiel El Niño / La Niña) + anomalies saisonnières.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Mensuel (2e jeudi)</w:t>
            </w:r>
          </w:p>
        </w:tc>
        <w:tc>
          <w:tcPr>
            <w:tcW w:type="dxa" w:w="2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p7ten2-yygunf-be4biw9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www.cpc.ncep.noaa.gov</w:t>
              </w:r>
            </w:hyperlink>
          </w:p>
        </w:tc>
      </w:tr>
      <w:tr>
        <w:tc>
          <w:tcPr>
            <w:tcW w:type="dxa" w:w="16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IRI Columbia</w:t>
            </w:r>
          </w:p>
        </w:tc>
        <w:tc>
          <w:tcPr>
            <w:tcW w:type="dxa" w:w="35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Probabilités ENSO par trimestre, prévisions saisonnières en cartes.</w:t>
            </w:r>
          </w:p>
        </w:tc>
        <w:tc>
          <w:tcPr>
            <w:tcW w:type="dxa" w:w="17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Mensuel</w:t>
            </w:r>
          </w:p>
        </w:tc>
        <w:tc>
          <w:tcPr>
            <w:tcW w:type="dxa" w:w="2966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sv9pmdttrtogoupxm4jbp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iri.columbia.edu</w:t>
              </w:r>
            </w:hyperlink>
          </w:p>
        </w:tc>
      </w:tr>
      <w:tr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CHIRPS</w:t>
            </w:r>
          </w:p>
        </w:tc>
        <w:tc>
          <w:tcPr>
            <w:tcW w:type="dxa" w:w="3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Anomalies de pluie par décade et par mois : dit si le déficit est vraiment anormal.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Mensuel</w:t>
            </w:r>
          </w:p>
        </w:tc>
        <w:tc>
          <w:tcPr>
            <w:tcW w:type="dxa" w:w="2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jfhrtufpuofm0c7oz0pdw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www.chc.ucsb.edu/data/chirps</w:t>
              </w:r>
            </w:hyperlink>
          </w:p>
        </w:tc>
      </w:tr>
      <w:tr>
        <w:tc>
          <w:tcPr>
            <w:tcW w:type="dxa" w:w="16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Open-Meteo</w:t>
            </w:r>
          </w:p>
        </w:tc>
        <w:tc>
          <w:tcPr>
            <w:tcW w:type="dxa" w:w="35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API gratuite sans clé : prévision 16 j + historique. Pour automatiser dans procafe.</w:t>
            </w:r>
          </w:p>
        </w:tc>
        <w:tc>
          <w:tcPr>
            <w:tcW w:type="dxa" w:w="17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Intégration</w:t>
            </w:r>
          </w:p>
        </w:tc>
        <w:tc>
          <w:tcPr>
            <w:tcW w:type="dxa" w:w="2966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u_awxaoafxngqxqejmf75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open-meteo.com</w:t>
              </w:r>
            </w:hyperlink>
          </w:p>
        </w:tc>
      </w:tr>
      <w:tr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NASA POWER</w:t>
            </w:r>
          </w:p>
        </w:tc>
        <w:tc>
          <w:tcPr>
            <w:tcW w:type="dxa" w:w="3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Historique quotidien depuis 1981 (latence ~4 j) : bilan hydrique, écart à la normale.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Mensuel</w:t>
            </w:r>
          </w:p>
        </w:tc>
        <w:tc>
          <w:tcPr>
            <w:tcW w:type="dxa" w:w="2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9yxqyiqxbevjylmesfqyq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power.larc.nasa.gov</w:t>
              </w:r>
            </w:hyperlink>
          </w:p>
        </w:tc>
      </w:tr>
    </w:tbl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2. Ta routine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62626"/>
          <w:sz w:val="17"/>
          <w:szCs w:val="17"/>
        </w:rPr>
        <w:t xml:space="preserve">Chaque jour : </w:t>
      </w:r>
      <w:r>
        <w:rPr>
          <w:rFonts w:ascii="Arial" w:cs="Arial" w:eastAsia="Arial" w:hAnsi="Arial"/>
          <w:color w:val="262626"/>
          <w:sz w:val="17"/>
          <w:szCs w:val="17"/>
        </w:rPr>
        <w:t xml:space="preserve">Windy (comparer les modèles sur Huila / Eje Cafetero) + prévisions IDEAM.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62626"/>
          <w:sz w:val="17"/>
          <w:szCs w:val="17"/>
        </w:rPr>
        <w:t xml:space="preserve">Chaque semaine : </w:t>
      </w:r>
      <w:r>
        <w:rPr>
          <w:rFonts w:ascii="Arial" w:cs="Arial" w:eastAsia="Arial" w:hAnsi="Arial"/>
          <w:color w:val="262626"/>
          <w:sz w:val="17"/>
          <w:szCs w:val="17"/>
        </w:rPr>
        <w:t xml:space="preserve">Meteoblue sur 3-4 municipes témoins ; cumuls de pluie des 7 derniers jours.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62626"/>
          <w:sz w:val="17"/>
          <w:szCs w:val="17"/>
        </w:rPr>
        <w:t xml:space="preserve">Chaque mois : </w:t>
      </w:r>
      <w:r>
        <w:rPr>
          <w:rFonts w:ascii="Arial" w:cs="Arial" w:eastAsia="Arial" w:hAnsi="Arial"/>
          <w:color w:val="262626"/>
          <w:sz w:val="17"/>
          <w:szCs w:val="17"/>
        </w:rPr>
        <w:t xml:space="preserve">Bulletin Cenicafé, ENSO Diagnostic Discussion du CPC, anomalies CHIRPS, production FNC.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3. Les fenêtres critiques</w:t>
      </w:r>
    </w:p>
    <w:tbl>
      <w:tblPr>
        <w:tblW w:type="dxa" w:w="9866"/>
        <w:tblBorders>
          <w:top w:val="single" w:color="D9D9D9" w:sz="4"/>
          <w:left w:val="none" w:color="FFFFFF" w:sz="0"/>
          <w:bottom w:val="single" w:color="D9D9D9" w:sz="4"/>
          <w:right w:val="none" w:color="FFFFFF" w:sz="0"/>
          <w:insideH w:val="single" w:color="D9D9D9" w:sz="4"/>
          <w:insideV w:val="none" w:color="FFFFFF" w:sz="0"/>
        </w:tblBorders>
      </w:tblPr>
      <w:tblGrid>
        <w:gridCol w:w="2200"/>
        <w:gridCol w:w="7666"/>
      </w:tblGrid>
      <w:tr>
        <w:trPr>
          <w:tblHeader/>
        </w:trPr>
        <w:tc>
          <w:tcPr>
            <w:tcW w:type="dxa" w:w="2200"/>
            <w:shd w:fill="1B2A4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Période</w:t>
            </w:r>
          </w:p>
        </w:tc>
        <w:tc>
          <w:tcPr>
            <w:tcW w:type="dxa" w:w="7666"/>
            <w:shd w:fill="1B2A4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 qui se joue / ce que tu surveilles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Déc. - févr.</w:t>
            </w:r>
          </w:p>
        </w:tc>
        <w:tc>
          <w:tcPr>
            <w:tcW w:type="dxa" w:w="7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Période la plus sèche. Surveiller le déficit cumulé : il conditionne la floraison qui suit.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Févr. - mars</w:t>
            </w:r>
          </w:p>
        </w:tc>
        <w:tc>
          <w:tcPr>
            <w:tcW w:type="dxa" w:w="7666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FLORAISON PRINCIPALE. Il faut des pluies de reprise ; un démarrage sec ampute la récolte d'octobre-janvier.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Mars - mai</w:t>
            </w:r>
          </w:p>
        </w:tc>
        <w:tc>
          <w:tcPr>
            <w:tcW w:type="dxa" w:w="7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1re saison des pluies, remplissage des grains de la mitaca. Excès = roya, déficit = petits grains.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Avril - juin</w:t>
            </w:r>
          </w:p>
        </w:tc>
        <w:tc>
          <w:tcPr>
            <w:tcW w:type="dxa" w:w="7666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RÉCOLTE MITACA (30-40 % du volume). L'excès de pluie pénalise la cueillette et surtout le séchage.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Août - sept.</w:t>
            </w:r>
          </w:p>
        </w:tc>
        <w:tc>
          <w:tcPr>
            <w:tcW w:type="dxa" w:w="7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FLORAISON SECONDAIRE : elle détermine la mitaca de l'année suivante.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Sept. - nov.</w:t>
            </w:r>
          </w:p>
        </w:tc>
        <w:tc>
          <w:tcPr>
            <w:tcW w:type="dxa" w:w="7666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2e saison des pluies : remplissage des grains de la récolte principale, phase très sensible au déficit.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Oct. - janv.</w:t>
            </w:r>
          </w:p>
        </w:tc>
        <w:tc>
          <w:tcPr>
            <w:tcW w:type="dxa" w:w="7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RÉCOLTE PRINCIPALE (60-70 %). Excès de pluie = qualité, séchage, glissements, logistique.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Toute l'année</w:t>
            </w:r>
          </w:p>
        </w:tc>
        <w:tc>
          <w:tcPr>
            <w:tcW w:type="dxa" w:w="7666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ENSO : El Niño = déficit de pluie et chaleur (broca) ; La Niña = excès de pluie, floraisons noyées, roya.</w:t>
            </w:r>
          </w:p>
        </w:tc>
      </w:tr>
    </w:tbl>
    <w:p>
      <w:pPr>
        <w:spacing w:after="10" w:before="20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Zones à suivre : Huila, Nariño, Tolima, Cauca, Antioquia, Santander et l'Eje Cafetero (Caldas, Quindío, Risaralda). À 1 200-2 000 m, deux municipes voisins peuvent avoir des pluies très différentes : garder 3-4 points témoins plutôt qu'une moyenne nationale.</w:t>
      </w:r>
    </w:p>
    <w:p>
      <w:r>
        <w:br w:type="page"/>
      </w:r>
    </w:p>
    <w:p>
      <w:pPr>
        <w:pStyle w:val="Heading1"/>
        <w:pBdr>
          <w:bottom w:val="single" w:color="4472C4" w:sz="12" w:space="6"/>
        </w:pBdr>
        <w:spacing w:after="60"/>
      </w:pPr>
      <w:r>
        <w:rPr>
          <w:rFonts w:ascii="Arial" w:cs="Arial" w:eastAsia="Arial" w:hAnsi="Arial"/>
          <w:b/>
          <w:bCs/>
          <w:color w:val="1B2A41"/>
          <w:sz w:val="26"/>
          <w:szCs w:val="26"/>
        </w:rPr>
        <w:t xml:space="preserve">Veille météo café — BRÉSIL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Où regarder, pour quoi, à quelle fréquence. Une récolte par an, cycle biennal ON/OFF.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1. Les sources, par ordre d'utilité</w:t>
      </w:r>
    </w:p>
    <w:tbl>
      <w:tblPr>
        <w:tblW w:type="dxa" w:w="9866"/>
        <w:tblBorders>
          <w:top w:val="single" w:color="D9D9D9" w:sz="4"/>
          <w:left w:val="none" w:color="FFFFFF" w:sz="0"/>
          <w:bottom w:val="single" w:color="D9D9D9" w:sz="4"/>
          <w:right w:val="none" w:color="FFFFFF" w:sz="0"/>
          <w:insideH w:val="single" w:color="D9D9D9" w:sz="4"/>
          <w:insideV w:val="none" w:color="FFFFFF" w:sz="0"/>
        </w:tblBorders>
      </w:tblPr>
      <w:tblGrid>
        <w:gridCol w:w="1650"/>
        <w:gridCol w:w="3500"/>
        <w:gridCol w:w="1750"/>
        <w:gridCol w:w="2966"/>
      </w:tblGrid>
      <w:tr>
        <w:trPr>
          <w:tblHeader/>
        </w:trPr>
        <w:tc>
          <w:tcPr>
            <w:tcW w:type="dxa" w:w="1650"/>
            <w:shd w:fill="1B2A4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3500"/>
            <w:shd w:fill="1B2A4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 que tu y trouves</w:t>
            </w:r>
          </w:p>
        </w:tc>
        <w:tc>
          <w:tcPr>
            <w:tcW w:type="dxa" w:w="1750"/>
            <w:shd w:fill="1B2A4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Quand y aller</w:t>
            </w:r>
          </w:p>
        </w:tc>
        <w:tc>
          <w:tcPr>
            <w:tcW w:type="dxa" w:w="2966"/>
            <w:shd w:fill="1B2A4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Lien</w:t>
            </w:r>
          </w:p>
        </w:tc>
      </w:tr>
      <w:tr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INMET</w:t>
            </w:r>
          </w:p>
        </w:tc>
        <w:tc>
          <w:tcPr>
            <w:tcW w:type="dxa" w:w="3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Service météo national : prévisions, stations automatiques, cartes d'anomalies, avisos de geada.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Quotidien</w:t>
            </w:r>
          </w:p>
        </w:tc>
        <w:tc>
          <w:tcPr>
            <w:tcW w:type="dxa" w:w="2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vdq3zeiz_kb-lndqvylk-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portal.inmet.gov.br</w:t>
              </w:r>
            </w:hyperlink>
          </w:p>
        </w:tc>
      </w:tr>
      <w:tr>
        <w:tc>
          <w:tcPr>
            <w:tcW w:type="dxa" w:w="16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CPTEC / INPE</w:t>
            </w:r>
          </w:p>
        </w:tc>
        <w:tc>
          <w:tcPr>
            <w:tcW w:type="dxa" w:w="35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Modèles régionaux, prévisions étendues, satellite, prévision de gelée.</w:t>
            </w:r>
          </w:p>
        </w:tc>
        <w:tc>
          <w:tcPr>
            <w:tcW w:type="dxa" w:w="17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Quotidien</w:t>
            </w:r>
          </w:p>
        </w:tc>
        <w:tc>
          <w:tcPr>
            <w:tcW w:type="dxa" w:w="2966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z5ns0p10co2mcn3zkwofx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www.cptec.inpe.br</w:t>
              </w:r>
            </w:hyperlink>
          </w:p>
        </w:tc>
      </w:tr>
      <w:tr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Somar Meteorologia</w:t>
            </w:r>
          </w:p>
        </w:tc>
        <w:tc>
          <w:tcPr>
            <w:tcW w:type="dxa" w:w="3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Suivi agro-météo orienté café : cartes de pluie et bulletins. Lecture de référence du trade.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Quotidien / hebdo</w:t>
            </w:r>
          </w:p>
        </w:tc>
        <w:tc>
          <w:tcPr>
            <w:tcW w:type="dxa" w:w="2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ffltrzbwuep9igsgect81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www.somarmeteorologia.com.br</w:t>
              </w:r>
            </w:hyperlink>
          </w:p>
        </w:tc>
      </w:tr>
      <w:tr>
        <w:tc>
          <w:tcPr>
            <w:tcW w:type="dxa" w:w="16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Rural Clima</w:t>
            </w:r>
          </w:p>
        </w:tc>
        <w:tc>
          <w:tcPr>
            <w:tcW w:type="dxa" w:w="35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Analyses agro-météo café (Marco Antônio dos Santos), commentaires par région.</w:t>
            </w:r>
          </w:p>
        </w:tc>
        <w:tc>
          <w:tcPr>
            <w:tcW w:type="dxa" w:w="17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Quotidien</w:t>
            </w:r>
          </w:p>
        </w:tc>
        <w:tc>
          <w:tcPr>
            <w:tcW w:type="dxa" w:w="2966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pniarfqsmpilhvujnhwdh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www.ruralclima.com.br</w:t>
              </w:r>
            </w:hyperlink>
          </w:p>
        </w:tc>
      </w:tr>
      <w:tr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Climatempo</w:t>
            </w:r>
          </w:p>
        </w:tc>
        <w:tc>
          <w:tcPr>
            <w:tcW w:type="dxa" w:w="3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Prévisions par municipe, cumuls de pluie, tendances 30 jours.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Quotidien</w:t>
            </w:r>
          </w:p>
        </w:tc>
        <w:tc>
          <w:tcPr>
            <w:tcW w:type="dxa" w:w="2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ztuf8y-exzggac0yqkhkv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www.climatempo.com.br</w:t>
              </w:r>
            </w:hyperlink>
          </w:p>
        </w:tc>
      </w:tr>
      <w:tr>
        <w:tc>
          <w:tcPr>
            <w:tcW w:type="dxa" w:w="16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Fundação Procafé</w:t>
            </w:r>
          </w:p>
        </w:tc>
        <w:tc>
          <w:tcPr>
            <w:tcW w:type="dxa" w:w="35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Bulletins techniques par région, vus du terrain : floração, granação, dégâts de gelée ou de sécheresse.</w:t>
            </w:r>
          </w:p>
        </w:tc>
        <w:tc>
          <w:tcPr>
            <w:tcW w:type="dxa" w:w="17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Mensuel</w:t>
            </w:r>
          </w:p>
        </w:tc>
        <w:tc>
          <w:tcPr>
            <w:tcW w:type="dxa" w:w="2966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ad2ym05hjhxo-5mw0djzo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www.fundacaoprocafe.com.br</w:t>
              </w:r>
            </w:hyperlink>
          </w:p>
        </w:tc>
      </w:tr>
      <w:tr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CONAB</w:t>
            </w:r>
          </w:p>
        </w:tc>
        <w:tc>
          <w:tcPr>
            <w:tcW w:type="dxa" w:w="3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Estimations officielles de récolte (levantamentos) : surfaces, rendements, volumes.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Janv., mai, sept., déc.</w:t>
            </w:r>
          </w:p>
        </w:tc>
        <w:tc>
          <w:tcPr>
            <w:tcW w:type="dxa" w:w="2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yr47lrwdhw2yiu65knutu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www.conab.gov.br</w:t>
              </w:r>
            </w:hyperlink>
          </w:p>
        </w:tc>
      </w:tr>
      <w:tr>
        <w:tc>
          <w:tcPr>
            <w:tcW w:type="dxa" w:w="16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Monitor de Secas (ANA)</w:t>
            </w:r>
          </w:p>
        </w:tc>
        <w:tc>
          <w:tcPr>
            <w:tcW w:type="dxa" w:w="35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Carte mensuelle officielle de l'intensité de la sécheresse par État.</w:t>
            </w:r>
          </w:p>
        </w:tc>
        <w:tc>
          <w:tcPr>
            <w:tcW w:type="dxa" w:w="17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Mensuel</w:t>
            </w:r>
          </w:p>
        </w:tc>
        <w:tc>
          <w:tcPr>
            <w:tcW w:type="dxa" w:w="2966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duuz48kydnkc-bm_j3mx1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monitordesecas.ana.gov.br</w:t>
              </w:r>
            </w:hyperlink>
          </w:p>
        </w:tc>
      </w:tr>
      <w:tr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Windy / Meteoblue / Zoom Earth</w:t>
            </w:r>
          </w:p>
        </w:tc>
        <w:tc>
          <w:tcPr>
            <w:tcW w:type="dxa" w:w="3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Comparaison de modèles, meteogram par ville, satellite temps réel — même usage qu'en Colombie.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Quotidien</w:t>
            </w:r>
          </w:p>
        </w:tc>
        <w:tc>
          <w:tcPr>
            <w:tcW w:type="dxa" w:w="2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yopehnjkgaiuewgiont70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www.windy.com</w:t>
              </w:r>
            </w:hyperlink>
          </w:p>
        </w:tc>
      </w:tr>
      <w:tr>
        <w:tc>
          <w:tcPr>
            <w:tcW w:type="dxa" w:w="16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NOAA CPC / IRI</w:t>
            </w:r>
          </w:p>
        </w:tc>
        <w:tc>
          <w:tcPr>
            <w:tcW w:type="dxa" w:w="35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Statut ENSO : le pilote principal des sécheresses du Sud-Est brésilien.</w:t>
            </w:r>
          </w:p>
        </w:tc>
        <w:tc>
          <w:tcPr>
            <w:tcW w:type="dxa" w:w="175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Mensuel</w:t>
            </w:r>
          </w:p>
        </w:tc>
        <w:tc>
          <w:tcPr>
            <w:tcW w:type="dxa" w:w="2966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3co-uil_yxuah92hq81pj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www.cpc.ncep.noaa.gov</w:t>
              </w:r>
            </w:hyperlink>
          </w:p>
        </w:tc>
      </w:tr>
      <w:tr>
        <w:tc>
          <w:tcPr>
            <w:tcW w:type="dxa" w:w="1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A41"/>
                <w:sz w:val="17"/>
                <w:szCs w:val="17"/>
              </w:rPr>
              <w:t xml:space="preserve">NASA POWER</w:t>
            </w:r>
          </w:p>
        </w:tc>
        <w:tc>
          <w:tcPr>
            <w:tcW w:type="dxa" w:w="3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Source déjà utilisée par procafe : historique quotidien depuis 1981, bilan hydrique.</w:t>
            </w:r>
          </w:p>
        </w:tc>
        <w:tc>
          <w:tcPr>
            <w:tcW w:type="dxa" w:w="17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55A11"/>
                <w:sz w:val="17"/>
                <w:szCs w:val="17"/>
              </w:rPr>
              <w:t xml:space="preserve">Mensuel</w:t>
            </w:r>
          </w:p>
        </w:tc>
        <w:tc>
          <w:tcPr>
            <w:tcW w:type="dxa" w:w="29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hyperlink w:history="1" r:id="rIdis4zkc8wjokco4_xw8e8j">
              <w:r>
                <w:rPr>
                  <w:rFonts w:ascii="Arial" w:cs="Arial" w:eastAsia="Arial" w:hAnsi="Arial"/>
                  <w:color w:val="4472C4"/>
                  <w:sz w:val="16"/>
                  <w:szCs w:val="16"/>
                  <w:u w:val="single"/>
                </w:rPr>
                <w:t xml:space="preserve">power.larc.nasa.gov</w:t>
              </w:r>
            </w:hyperlink>
          </w:p>
        </w:tc>
      </w:tr>
    </w:tbl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2. Ta routine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62626"/>
          <w:sz w:val="17"/>
          <w:szCs w:val="17"/>
        </w:rPr>
        <w:t xml:space="preserve">Chaque jour : </w:t>
      </w:r>
      <w:r>
        <w:rPr>
          <w:rFonts w:ascii="Arial" w:cs="Arial" w:eastAsia="Arial" w:hAnsi="Arial"/>
          <w:color w:val="262626"/>
          <w:sz w:val="17"/>
          <w:szCs w:val="17"/>
        </w:rPr>
        <w:t xml:space="preserve">Rural Clima ou Somar (lecture agro) + Windy pour la pluie à 10 jours ; de mai à août, avisos de geada INMET / CPTEC.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62626"/>
          <w:sz w:val="17"/>
          <w:szCs w:val="17"/>
        </w:rPr>
        <w:t xml:space="preserve">Chaque semaine : </w:t>
      </w:r>
      <w:r>
        <w:rPr>
          <w:rFonts w:ascii="Arial" w:cs="Arial" w:eastAsia="Arial" w:hAnsi="Arial"/>
          <w:color w:val="262626"/>
          <w:sz w:val="17"/>
          <w:szCs w:val="17"/>
        </w:rPr>
        <w:t xml:space="preserve">Cumuls de pluie par région (Sul de Minas, Cerrado, Mogiana, Matas de Minas) et écart à la normale.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262626"/>
          <w:sz w:val="17"/>
          <w:szCs w:val="17"/>
        </w:rPr>
        <w:t xml:space="preserve">Chaque mois : </w:t>
      </w:r>
      <w:r>
        <w:rPr>
          <w:rFonts w:ascii="Arial" w:cs="Arial" w:eastAsia="Arial" w:hAnsi="Arial"/>
          <w:color w:val="262626"/>
          <w:sz w:val="17"/>
          <w:szCs w:val="17"/>
        </w:rPr>
        <w:t xml:space="preserve">Bulletin Fundação Procafé, Monitor de Secas, ENSO du CPC ; CONAB à chaque levantamento.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4472C4"/>
          <w:sz w:val="20"/>
          <w:szCs w:val="20"/>
        </w:rPr>
        <w:t xml:space="preserve">3. Les fenêtres critiques</w:t>
      </w:r>
    </w:p>
    <w:tbl>
      <w:tblPr>
        <w:tblW w:type="dxa" w:w="9866"/>
        <w:tblBorders>
          <w:top w:val="single" w:color="D9D9D9" w:sz="4"/>
          <w:left w:val="none" w:color="FFFFFF" w:sz="0"/>
          <w:bottom w:val="single" w:color="D9D9D9" w:sz="4"/>
          <w:right w:val="none" w:color="FFFFFF" w:sz="0"/>
          <w:insideH w:val="single" w:color="D9D9D9" w:sz="4"/>
          <w:insideV w:val="none" w:color="FFFFFF" w:sz="0"/>
        </w:tblBorders>
      </w:tblPr>
      <w:tblGrid>
        <w:gridCol w:w="2200"/>
        <w:gridCol w:w="7666"/>
      </w:tblGrid>
      <w:tr>
        <w:trPr>
          <w:tblHeader/>
        </w:trPr>
        <w:tc>
          <w:tcPr>
            <w:tcW w:type="dxa" w:w="2200"/>
            <w:shd w:fill="1B2A4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Période</w:t>
            </w:r>
          </w:p>
        </w:tc>
        <w:tc>
          <w:tcPr>
            <w:tcW w:type="dxa" w:w="7666"/>
            <w:shd w:fill="1B2A4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Ce qui se joue / ce que tu surveilles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Mai - sept.</w:t>
            </w:r>
          </w:p>
        </w:tc>
        <w:tc>
          <w:tcPr>
            <w:tcW w:type="dxa" w:w="7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Saison sèche : récolte et séchage. Des pluies hors saison provoquent des défauts (fermentation, moisissures).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Juin - juillet</w:t>
            </w:r>
          </w:p>
        </w:tc>
        <w:tc>
          <w:tcPr>
            <w:tcW w:type="dxa" w:w="7666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GELÉE (geada) : Sul de Minas, Mogiana, Paraná. Alerte après un front froid, nuit claire et sans vent — avisos INMET / CPTEC.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Sept. - oct.</w:t>
            </w:r>
          </w:p>
        </w:tc>
        <w:tc>
          <w:tcPr>
            <w:tcW w:type="dxa" w:w="7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FLORAISON, déclenchée par les premières pluies. Des pluies en pointillé donnent plusieurs floraisons et une maturation hétérogène.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Oct. - déc.</w:t>
            </w:r>
          </w:p>
        </w:tc>
        <w:tc>
          <w:tcPr>
            <w:tcW w:type="dxa" w:w="7666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Nouaison (pegamento, chumbinho) : un veranico de 10-15 jours fait avorter les jeunes fruits.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Déc. - févr.</w:t>
            </w:r>
          </w:p>
        </w:tc>
        <w:tc>
          <w:tcPr>
            <w:tcW w:type="dxa" w:w="7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GRANAÇÃO (remplissage) : phase la plus sensible au déficit hydrique, elle fixe le calibre. Sec = grains petits / moka.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Janvier</w:t>
            </w:r>
          </w:p>
        </w:tc>
        <w:tc>
          <w:tcPr>
            <w:tcW w:type="dxa" w:w="7666"/>
            <w:shd w:fill="F5F7F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Fenêtre classique de veranico : à surveiller de très près, c'est là que se perdent les récoltes.</w:t>
            </w:r>
          </w:p>
        </w:tc>
      </w:tr>
      <w:tr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7"/>
                <w:szCs w:val="17"/>
              </w:rPr>
              <w:t xml:space="preserve">Toute l'année</w:t>
            </w:r>
          </w:p>
        </w:tc>
        <w:tc>
          <w:tcPr>
            <w:tcW w:type="dxa" w:w="766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62626"/>
                <w:sz w:val="17"/>
                <w:szCs w:val="17"/>
              </w:rPr>
              <w:t xml:space="preserve">ENSO : La Niña = tendance sèche sur le Sud-Est et le Cerrado ; El Niño = plus de pluie, mais risque de pluie sur la récolte.</w:t>
            </w:r>
          </w:p>
        </w:tc>
      </w:tr>
    </w:tbl>
    <w:p>
      <w:pPr>
        <w:spacing w:after="10" w:before="20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Régions à suivre : Sul de Minas, Cerrado Mineiro, Mogiana, Matas de Minas (arabica), Espírito Santo et Rondônia (conilon). Le cycle biennal amplifie tout : une année ON amputée par un veranico coûte bien plus qu'une année OFF.</w:t>
      </w:r>
    </w:p>
    <w:p>
      <w:pPr>
        <w:spacing w:after="10" w:before="16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Note : les adresses ci-dessus sont données de mémoire — la politique réseau de l'environnement de génération n'a pas permis de les tester une par une. Vérifie-les au premier usage et corrige ce document si l'une a bougé.</w:t>
      </w: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5ul6kn3j158ojkbivxde" Type="http://schemas.openxmlformats.org/officeDocument/2006/relationships/hyperlink" Target="https://www.ideam.gov.co" TargetMode="External"/><Relationship Id="rIdoqu3ub3skryw3fv38poyx" Type="http://schemas.openxmlformats.org/officeDocument/2006/relationships/hyperlink" Target="https://www.cenicafe.org" TargetMode="External"/><Relationship Id="rIdk-on1mbfpufkzhhpxvt3s" Type="http://schemas.openxmlformats.org/officeDocument/2006/relationships/hyperlink" Target="https://federaciondecafeteros.org" TargetMode="External"/><Relationship Id="rIduwcuobyg4sxrzb_nujz2n" Type="http://schemas.openxmlformats.org/officeDocument/2006/relationships/hyperlink" Target="https://www.windy.com" TargetMode="External"/><Relationship Id="rIdwuchosnrxamuvfe5nphdb" Type="http://schemas.openxmlformats.org/officeDocument/2006/relationships/hyperlink" Target="https://www.meteoblue.com" TargetMode="External"/><Relationship Id="rId-lhdhg8jb9dlceqsn8xys" Type="http://schemas.openxmlformats.org/officeDocument/2006/relationships/hyperlink" Target="https://zoom.earth" TargetMode="External"/><Relationship Id="rIdp7ten2-yygunf-be4biw9" Type="http://schemas.openxmlformats.org/officeDocument/2006/relationships/hyperlink" Target="https://www.cpc.ncep.noaa.gov" TargetMode="External"/><Relationship Id="rIdsv9pmdttrtogoupxm4jbp" Type="http://schemas.openxmlformats.org/officeDocument/2006/relationships/hyperlink" Target="https://iri.columbia.edu" TargetMode="External"/><Relationship Id="rIdjfhrtufpuofm0c7oz0pdw" Type="http://schemas.openxmlformats.org/officeDocument/2006/relationships/hyperlink" Target="https://www.chc.ucsb.edu/data/chirps" TargetMode="External"/><Relationship Id="rIdu_awxaoafxngqxqejmf75" Type="http://schemas.openxmlformats.org/officeDocument/2006/relationships/hyperlink" Target="https://open-meteo.com" TargetMode="External"/><Relationship Id="rId9yxqyiqxbevjylmesfqyq" Type="http://schemas.openxmlformats.org/officeDocument/2006/relationships/hyperlink" Target="https://power.larc.nasa.gov" TargetMode="External"/><Relationship Id="rIdvdq3zeiz_kb-lndqvylk-" Type="http://schemas.openxmlformats.org/officeDocument/2006/relationships/hyperlink" Target="https://portal.inmet.gov.br" TargetMode="External"/><Relationship Id="rIdz5ns0p10co2mcn3zkwofx" Type="http://schemas.openxmlformats.org/officeDocument/2006/relationships/hyperlink" Target="https://www.cptec.inpe.br" TargetMode="External"/><Relationship Id="rIdffltrzbwuep9igsgect81" Type="http://schemas.openxmlformats.org/officeDocument/2006/relationships/hyperlink" Target="https://www.somarmeteorologia.com.br" TargetMode="External"/><Relationship Id="rIdpniarfqsmpilhvujnhwdh" Type="http://schemas.openxmlformats.org/officeDocument/2006/relationships/hyperlink" Target="https://www.ruralclima.com.br" TargetMode="External"/><Relationship Id="rIdztuf8y-exzggac0yqkhkv" Type="http://schemas.openxmlformats.org/officeDocument/2006/relationships/hyperlink" Target="https://www.climatempo.com.br" TargetMode="External"/><Relationship Id="rIdad2ym05hjhxo-5mw0djzo" Type="http://schemas.openxmlformats.org/officeDocument/2006/relationships/hyperlink" Target="https://www.fundacaoprocafe.com.br" TargetMode="External"/><Relationship Id="rIdyr47lrwdhw2yiu65knutu" Type="http://schemas.openxmlformats.org/officeDocument/2006/relationships/hyperlink" Target="https://www.conab.gov.br" TargetMode="External"/><Relationship Id="rIdduuz48kydnkc-bm_j3mx1" Type="http://schemas.openxmlformats.org/officeDocument/2006/relationships/hyperlink" Target="https://monitordesecas.ana.gov.br" TargetMode="External"/><Relationship Id="rIdyopehnjkgaiuewgiont70" Type="http://schemas.openxmlformats.org/officeDocument/2006/relationships/hyperlink" Target="https://www.windy.com" TargetMode="External"/><Relationship Id="rId3co-uil_yxuah92hq81pj" Type="http://schemas.openxmlformats.org/officeDocument/2006/relationships/hyperlink" Target="https://www.cpc.ncep.noaa.gov" TargetMode="External"/><Relationship Id="rIdis4zkc8wjokco4_xw8e8j" Type="http://schemas.openxmlformats.org/officeDocument/2006/relationships/hyperlink" Target="https://power.larc.nasa.gov" TargetMode="Externa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Veille météo café — Colombie et Brésil</dc:title>
  <dc:creator>procafe</dc:creator>
  <dc:description>Où regarder, pour quoi, à quelle fréquence.</dc:description>
  <cp:lastModifiedBy>Un-named</cp:lastModifiedBy>
  <cp:revision>1</cp:revision>
  <dcterms:created xsi:type="dcterms:W3CDTF">2026-09-03T16:31:55.624Z</dcterms:created>
  <dcterms:modified xsi:type="dcterms:W3CDTF">2026-09-03T16:31:55.624Z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