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randTitle"/>
        <w:jc w:val="left"/>
      </w:pPr>
      <w:r>
        <w:t>Base colour palette guide</w:t>
        <w:br/>
        <w:t>for a teaching comparison website</w:t>
      </w:r>
    </w:p>
    <w:p>
      <w:pPr>
        <w:pStyle w:val="BrandSubtitle"/>
      </w:pPr>
      <w:r>
        <w:t>Preferred direction: Palette 2 - warmer and more human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086"/>
            <w:shd w:fill="FCF8FD"/>
            <w:tcBorders>
              <w:left w:val="single" w:sz="12" w:color="B89AC9"/>
              <w:top w:val="single" w:sz="12" w:color="B89AC9"/>
              <w:right w:val="single" w:sz="12" w:color="B89AC9"/>
              <w:bottom w:val="single" w:sz="12" w:color="B89AC9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6E3B7E"/>
                <w:sz w:val="22"/>
              </w:rPr>
              <w:t>Positioning</w:t>
            </w:r>
          </w:p>
          <w:p>
            <w:pPr>
              <w:spacing w:before="80" w:after="0"/>
            </w:pPr>
            <w:r>
              <w:rPr>
                <w:color w:val="332733"/>
                <w:sz w:val="21"/>
              </w:rPr>
              <w:t>This palette gives the site a supportive, modern and approachable feel. It keeps enough seriousness for comparison content while avoiding the colder tone of blue-heavy professional services websites.</w:t>
            </w:r>
          </w:p>
        </w:tc>
      </w:tr>
    </w:tbl>
    <w:p/>
    <w:p>
      <w:pPr>
        <w:pStyle w:val="SectionHeading"/>
        <w:spacing w:before="0" w:after="160"/>
      </w:pPr>
      <w:r>
        <w:t>1. Palette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160"/>
        <w:gridCol w:w="3024"/>
        <w:gridCol w:w="1584"/>
      </w:tblGrid>
      <w:tr>
        <w:tc>
          <w:tcPr>
            <w:tcW w:type="dxa" w:w="2521"/>
            <w:shd w:fill="6E3B7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2521"/>
            <w:shd w:fill="6E3B7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2521"/>
            <w:shd w:fill="6E3B7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Recommended use</w:t>
            </w:r>
          </w:p>
        </w:tc>
        <w:tc>
          <w:tcPr>
            <w:tcW w:type="dxa" w:w="2521"/>
            <w:shd w:fill="6E3B7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Sample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Primary</w:t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#6E3B7E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Main headings, key panels, strong brand moments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6E3B7E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Secondary</w:t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#B89AC9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Borders, soft highlights, secondary panels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B89AC9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Background</w:t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#FCF8FD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Page background and light section washes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CF8FD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Surface</w:t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#FFFFFF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Cards, tables, forms and content panels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Text</w:t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#332733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Body text and main UI labels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332733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Accent</w:t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#E07A5F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332733"/>
                <w:sz w:val="19"/>
              </w:rPr>
              <w:t>Primary call to action and selected emphasis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07A5F"/>
          </w:tcPr>
          <w:p>
            <w:pPr>
              <w:jc w:val="center"/>
            </w:pPr>
            <w:r>
              <w:t xml:space="preserve"> </w:t>
            </w:r>
          </w:p>
        </w:tc>
      </w:tr>
    </w:tbl>
    <w:p/>
    <w:p>
      <w:pPr>
        <w:pStyle w:val="SectionHeading"/>
      </w:pPr>
      <w:r>
        <w:t>2. Design principles</w:t>
      </w:r>
    </w:p>
    <w:p>
      <w:pPr>
        <w:spacing w:after="80"/>
        <w:ind w:left="227"/>
      </w:pPr>
      <w:r>
        <w:rPr>
          <w:b/>
          <w:color w:val="6E3B7E"/>
        </w:rPr>
        <w:t xml:space="preserve">Supportive, not sugary: </w:t>
      </w:r>
      <w:r>
        <w:t>Use the mauve-plum primary confidently, but keep the overall interface restrained.</w:t>
      </w:r>
    </w:p>
    <w:p>
      <w:pPr>
        <w:spacing w:after="80"/>
        <w:ind w:left="227"/>
      </w:pPr>
      <w:r>
        <w:rPr>
          <w:b/>
          <w:color w:val="6E3B7E"/>
        </w:rPr>
        <w:t xml:space="preserve">Independent, not ideological: </w:t>
      </w:r>
      <w:r>
        <w:t>Rely on neutral layouts and plenty of white space so the site feels like a trusted comparison tool.</w:t>
      </w:r>
    </w:p>
    <w:p>
      <w:pPr>
        <w:spacing w:after="80"/>
        <w:ind w:left="227"/>
      </w:pPr>
      <w:r>
        <w:rPr>
          <w:b/>
          <w:color w:val="6E3B7E"/>
        </w:rPr>
        <w:t xml:space="preserve">Warmth with clarity: </w:t>
      </w:r>
      <w:r>
        <w:t>Use the coral accent selectively for actions and key comparisons, not as a general decorative colour.</w:t>
      </w:r>
    </w:p>
    <w:p>
      <w:pPr>
        <w:spacing w:after="80"/>
        <w:ind w:left="227"/>
      </w:pPr>
      <w:r>
        <w:rPr>
          <w:b/>
          <w:color w:val="6E3B7E"/>
        </w:rPr>
        <w:t xml:space="preserve">Accessible contrast: </w:t>
      </w:r>
      <w:r>
        <w:t>Main text should sit on white or very pale backgrounds; avoid placing long copy on secondary purple.</w:t>
      </w:r>
    </w:p>
    <w:p/>
    <w:p>
      <w:pPr>
        <w:pStyle w:val="SectionHeading"/>
      </w:pPr>
      <w:r>
        <w:t>3. Recommended UI usage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448"/>
        <w:gridCol w:w="3888"/>
      </w:tblGrid>
      <w:tr>
        <w:tc>
          <w:tcPr>
            <w:tcW w:type="dxa" w:w="3362"/>
            <w:shd w:fill="FC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E3B7E"/>
              </w:rPr>
              <w:t>Element</w:t>
            </w:r>
          </w:p>
        </w:tc>
        <w:tc>
          <w:tcPr>
            <w:tcW w:type="dxa" w:w="3362"/>
            <w:shd w:fill="FC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E3B7E"/>
              </w:rPr>
              <w:t>Colour approach</w:t>
            </w:r>
          </w:p>
        </w:tc>
        <w:tc>
          <w:tcPr>
            <w:tcW w:type="dxa" w:w="3362"/>
            <w:shd w:fill="FC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6E3B7E"/>
              </w:rPr>
              <w:t>Notes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Header / top navigation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Primary (#6E3B7E)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Use a solid brand bar or title treatment with white text.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Hero background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Background (#FCF8FD)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Keep hero areas light and let headlines carry the colour.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Primary button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Accent (#E07A5F)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Use for Compare, Join, View options, or Start comparison.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Secondary button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White + Secondary border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Use for low-pressure actions such as Learn more.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Cards / pricing panels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Surface (#FFFFFF)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Place on the pale background so comparison boxes feel crisp.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Section dividers / highlights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Secondary (#B89AC9)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Use for fine borders, tags and gentle emphasis.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Body copy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Text (#332733)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color w:val="332733"/>
                <w:sz w:val="18"/>
              </w:rPr>
              <w:t>Prefer this rather than black for a softer reading experience.</w:t>
            </w:r>
          </w:p>
        </w:tc>
      </w:tr>
    </w:tbl>
    <w:p>
      <w:r>
        <w:br w:type="page"/>
      </w:r>
    </w:p>
    <w:p>
      <w:pPr>
        <w:pStyle w:val="SectionHeading"/>
      </w:pPr>
      <w:r>
        <w:t>4. Starter design tokens</w:t>
      </w:r>
    </w:p>
    <w:p>
      <w:pPr>
        <w:pStyle w:val="SmallMuted"/>
      </w:pPr>
      <w:r>
        <w:t>These can be dropped into a CSS variables file and refined during UI design.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10086"/>
            <w:shd w:fill="F6EFF8"/>
            <w:tcBorders>
              <w:left w:val="single" w:sz="8" w:color="D9C8E2"/>
              <w:top w:val="single" w:sz="8" w:color="D9C8E2"/>
              <w:right w:val="single" w:sz="8" w:color="D9C8E2"/>
              <w:bottom w:val="single" w:sz="8" w:color="D9C8E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>:root {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 xml:space="preserve">  --colour-primary: #6E3B7E;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 xml:space="preserve">  --colour-primary-dark: #5D316C;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 xml:space="preserve">  --colour-secondary: #B89AC9;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 xml:space="preserve">  --colour-background: #FCF8FD;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 xml:space="preserve">  --colour-surface: #FFFFFF;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 xml:space="preserve">  --colour-text: #332733;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 xml:space="preserve">  --colour-text-muted: #6B6171;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 xml:space="preserve">  --colour-accent: #E07A5F;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 xml:space="preserve">  --colour-accent-hover: #C9654C;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 xml:space="preserve">  --colour-border: #D9C8E2;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 xml:space="preserve">  --colour-success: #2F7D57;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 xml:space="preserve">  --colour-warning: #B7791F;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 xml:space="preserve">  --colour-error: #B84A62;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332733"/>
                <w:sz w:val="18"/>
              </w:rPr>
              <w:t>}</w:t>
            </w:r>
          </w:p>
        </w:tc>
      </w:tr>
    </w:tbl>
    <w:p/>
    <w:p>
      <w:pPr>
        <w:pStyle w:val="SectionHeading"/>
      </w:pPr>
      <w:r>
        <w:t>5. Button and state guidance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4320"/>
      </w:tblGrid>
      <w:tr>
        <w:tc>
          <w:tcPr>
            <w:tcW w:type="dxa" w:w="3362"/>
            <w:shd w:fill="6E3B7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362"/>
            <w:shd w:fill="6E3B7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Treatment</w:t>
            </w:r>
          </w:p>
        </w:tc>
        <w:tc>
          <w:tcPr>
            <w:tcW w:type="dxa" w:w="3362"/>
            <w:shd w:fill="6E3B7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Primary button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Accent fill with white text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Hover to slightly deeper coral; keep corners soft rather than sharp.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Secondary button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White fill with secondary border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Text in primary or text colour; hover can use pale lavender tint.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Selected state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Primary or secondary tint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Useful for filter chips, plan selectors and comparison toggles.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Links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Primary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Underline on hover for clarity.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Table highlights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Very pale mauve wash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332733"/>
                <w:sz w:val="18"/>
              </w:rPr>
              <w:t>Use for recommended picks or summary rows, but avoid overpowering the data.</w:t>
            </w:r>
          </w:p>
        </w:tc>
      </w:tr>
    </w:tbl>
    <w:p/>
    <w:p>
      <w:pPr>
        <w:pStyle w:val="SectionHeading"/>
      </w:pPr>
      <w:r>
        <w:t>6. Accessibility and practical notes</w:t>
      </w:r>
    </w:p>
    <w:p>
      <w:pPr>
        <w:ind w:left="283"/>
      </w:pPr>
      <w:r>
        <w:rPr>
          <w:b/>
        </w:rPr>
        <w:t xml:space="preserve">• </w:t>
      </w:r>
      <w:r>
        <w:t>Use white or near-white behind body copy, comparison tables and long paragraphs.</w:t>
      </w:r>
    </w:p>
    <w:p>
      <w:pPr>
        <w:ind w:left="283"/>
      </w:pPr>
      <w:r>
        <w:rPr>
          <w:b/>
        </w:rPr>
        <w:t xml:space="preserve">• </w:t>
      </w:r>
      <w:r>
        <w:t>Reserve purple backgrounds for short headline areas, badges and navigation rather than dense content blocks.</w:t>
      </w:r>
    </w:p>
    <w:p>
      <w:pPr>
        <w:ind w:left="283"/>
      </w:pPr>
      <w:r>
        <w:rPr>
          <w:b/>
        </w:rPr>
        <w:t xml:space="preserve">• </w:t>
      </w:r>
      <w:r>
        <w:t>Check button contrast carefully if the coral accent is used with smaller text; white on the darker hover state is safer.</w:t>
      </w:r>
    </w:p>
    <w:p>
      <w:pPr>
        <w:ind w:left="283"/>
      </w:pPr>
      <w:r>
        <w:rPr>
          <w:b/>
        </w:rPr>
        <w:t xml:space="preserve">• </w:t>
      </w:r>
      <w:r>
        <w:t>For charts, add a non-purple contrast colour family such as teal or gold so data series do not blur together.</w:t>
      </w:r>
    </w:p>
    <w:p>
      <w:pPr>
        <w:ind w:left="283"/>
      </w:pPr>
      <w:r>
        <w:rPr>
          <w:b/>
        </w:rPr>
        <w:t xml:space="preserve">• </w:t>
      </w:r>
      <w:r>
        <w:t>Keep the site feeling independent by combining colour with clean comparison tables, straightforward wording and generous spacing.</w:t>
      </w:r>
    </w:p>
    <w:p/>
    <w:p>
      <w:pPr>
        <w:pStyle w:val="SectionHeading"/>
      </w:pPr>
      <w:r>
        <w:t>7. Suggested next steps</w:t>
      </w:r>
    </w:p>
    <w:p>
      <w:pPr>
        <w:ind w:left="283"/>
      </w:pPr>
      <w:r>
        <w:rPr>
          <w:b/>
        </w:rPr>
        <w:t xml:space="preserve">• </w:t>
      </w:r>
      <w:r>
        <w:t>Create desktop and mobile mock-ups for the home page, comparison page and pricing page using this palette.</w:t>
      </w:r>
    </w:p>
    <w:p>
      <w:pPr>
        <w:ind w:left="283"/>
      </w:pPr>
      <w:r>
        <w:rPr>
          <w:b/>
        </w:rPr>
        <w:t xml:space="preserve">• </w:t>
      </w:r>
      <w:r>
        <w:t>Test the accent button colour against real CTA copy such as Compare options, Join now and Speak to an adviser.</w:t>
      </w:r>
    </w:p>
    <w:p>
      <w:pPr>
        <w:ind w:left="283"/>
      </w:pPr>
      <w:r>
        <w:rPr>
          <w:b/>
        </w:rPr>
        <w:t xml:space="preserve">• </w:t>
      </w:r>
      <w:r>
        <w:t>Agree one illustration / icon style so the warmer palette is supported by the rest of the visual language.</w:t>
      </w:r>
    </w:p>
    <w:sectPr w:rsidR="00FC693F" w:rsidRPr="0006063C" w:rsidSect="00034616">
      <w:footerReference w:type="default" r:id="rId9"/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6171"/>
        <w:sz w:val="16"/>
      </w:rPr>
      <w:t>Teaching comparison website - palette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andTitle">
    <w:name w:val="Brand Title"/>
    <w:rPr>
      <w:rFonts w:ascii="Aptos" w:hAnsi="Aptos"/>
      <w:b/>
      <w:color w:val="6E3B7E"/>
      <w:sz w:val="48"/>
    </w:rPr>
  </w:style>
  <w:style w:type="paragraph" w:customStyle="1" w:styleId="BrandSubtitle">
    <w:name w:val="Brand Subtitle"/>
    <w:rPr>
      <w:rFonts w:ascii="Aptos" w:hAnsi="Aptos"/>
      <w:b w:val="0"/>
      <w:color w:val="6B6171"/>
      <w:sz w:val="24"/>
    </w:rPr>
  </w:style>
  <w:style w:type="paragraph" w:customStyle="1" w:styleId="SectionHeading">
    <w:name w:val="Section Heading"/>
    <w:rPr>
      <w:rFonts w:ascii="Aptos" w:hAnsi="Aptos"/>
      <w:b/>
      <w:color w:val="6E3B7E"/>
      <w:sz w:val="30"/>
    </w:rPr>
  </w:style>
  <w:style w:type="paragraph" w:customStyle="1" w:styleId="SubheadingBrand">
    <w:name w:val="Subheading Brand"/>
    <w:rPr>
      <w:rFonts w:ascii="Aptos" w:hAnsi="Aptos"/>
      <w:b/>
      <w:color w:val="332733"/>
      <w:sz w:val="23"/>
    </w:rPr>
  </w:style>
  <w:style w:type="paragraph" w:customStyle="1" w:styleId="SmallMuted">
    <w:name w:val="Small Muted"/>
    <w:rPr>
      <w:rFonts w:ascii="Aptos" w:hAnsi="Aptos"/>
      <w:b w:val="0"/>
      <w:color w:val="6B617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