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3864"/>
          <w:sz w:val="44"/>
          <w:szCs w:val="44"/>
        </w:rPr>
        <w:t xml:space="preserve">Project Requirements Documentation</w:t>
      </w:r>
    </w:p>
    <w:p>
      <w:pPr>
        <w:spacing w:after="120"/>
        <w:jc w:val="center"/>
      </w:pPr>
      <w:r>
        <w:rPr>
          <w:color w:val="2E75B6"/>
          <w:sz w:val="28"/>
          <w:szCs w:val="28"/>
        </w:rPr>
        <w:t xml:space="preserve">Global Food Waste Reduction Network</w:t>
      </w:r>
    </w:p>
    <w:p>
      <w:pPr>
        <w:spacing w:after="60"/>
        <w:jc w:val="center"/>
      </w:pPr>
      <w:r>
        <w:rPr>
          <w:sz w:val="22"/>
          <w:szCs w:val="22"/>
        </w:rPr>
        <w:t xml:space="preserve">Prepared for: Carlos Mendoza, Project Manager</w:t>
      </w:r>
    </w:p>
    <w:p>
      <w:pPr>
        <w:spacing w:after="60"/>
        <w:jc w:val="center"/>
      </w:pPr>
      <w:r>
        <w:rPr>
          <w:sz w:val="22"/>
          <w:szCs w:val="22"/>
        </w:rPr>
        <w:t xml:space="preserve">Date: July 2, 2026 (Revision 2 — scoped to team-approved RTM)</w:t>
      </w:r>
    </w:p>
    <w:p>
      <w:pPr>
        <w:spacing w:after="600"/>
        <w:jc w:val="center"/>
      </w:pPr>
      <w:r>
        <w:rPr>
          <w:i/>
          <w:iCs/>
          <w:color w:val="555555"/>
          <w:sz w:val="20"/>
          <w:szCs w:val="20"/>
        </w:rPr>
        <w:t xml:space="preserve">Reflects only the requirements retained by the team in RTM_Global_Food_Waste_Reduction_Network.xlsx after review.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 &amp; Methodology</w:t>
      </w:r>
    </w:p>
    <w:p>
      <w:pPr>
        <w:spacing w:after="160"/>
      </w:pPr>
      <w:r>
        <w:t xml:space="preserve">This is a revised, scoped-down version of the project’s Requirements Documentation. The original documentation (58 requirements across seven categories) was loaded into the Requirements Traceability Matrix (RTM_Global_Food_Waste_Reduction_Network.xlsx), where the project team reviewed each entry and removed those judged unnecessary. This document lists only the requirements the team retained, organized by the same PMI/PMBOK requirement categories used previously, so it stays aligned with the RTM as the single source of truth going forward.</w:t>
      </w:r>
    </w:p>
    <w:p>
      <w:pPr>
        <w:spacing w:after="160"/>
      </w:pPr>
      <w:r>
        <w:t xml:space="preserve">Note: the team’s review removed all Transition requirements and reduced Business (9→4), Stakeholder (9→2), Non-Functional (11→3), Quality (6→3), and Project (7→3) requirements. All 10 Functional requirements were retained. One duplicate row in the updated RTM (Data Security &amp; Privacy listed twice under different IDs) was consolidated into a single NFR-02 entry here.</w:t>
      </w:r>
    </w:p>
    <w:p>
      <w:pPr>
        <w:pStyle w:val="Heading1"/>
      </w:pPr>
      <w:r>
        <w:t xml:space="preserve">2. Business Requirements</w:t>
      </w:r>
    </w:p>
    <w:p>
      <w:pPr>
        <w:spacing w:after="160"/>
      </w:pPr>
      <w:r>
        <w:rPr>
          <w:i/>
          <w:iCs/>
          <w:color w:val="444444"/>
        </w:rPr>
        <w:t xml:space="preserve">High-level, measurable outcomes the project must achieve to deliver business value.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460"/>
        <w:gridCol w:w="180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BR-01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Reduce Global Food Waste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Combat food waste by creating a centralized platform that redistributes surplus food from businesses and individuals to those in need.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Charter – Purpose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BR-02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Food Redistribution Target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Redistribute at least 1,000,000 pounds of surplus food within the first year of operation.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Charter – Objectives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BR-03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Environmental Impact Target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 at least 2,000 tons of CO2-equivalent emissions in the first year of operation.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Charter – Objectives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BR-04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Global Expansion Target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Launch the platform in at least 10 major cities across three continents within 18 months.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Charter – Objectives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3. Stakeholder Requirements</w:t>
      </w:r>
    </w:p>
    <w:p>
      <w:pPr>
        <w:spacing w:after="160"/>
      </w:pPr>
      <w:r>
        <w:rPr>
          <w:i/>
          <w:iCs/>
          <w:color w:val="444444"/>
        </w:rPr>
        <w:t xml:space="preserve">Needs of individual stakeholders or stakeholder groups.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460"/>
        <w:gridCol w:w="180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SR-01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Donor Food Listing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Food donors (restaurants, grocery stores, producers) need a simple way to list surplus food with type, quantity, and expiration date.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Charter; PRD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SR-02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Regulatory Compliance Assurance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Regulatory bodies (EU Food Safety, US FDA) require the platform to comply with food safety and data privacy regulations (GDPR, CCPA).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Charter; Meeting 1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4. Solution Requirements – Functional</w:t>
      </w:r>
    </w:p>
    <w:p>
      <w:pPr>
        <w:spacing w:after="160"/>
      </w:pPr>
      <w:r>
        <w:rPr>
          <w:i/>
          <w:iCs/>
          <w:color w:val="444444"/>
        </w:rPr>
        <w:t xml:space="preserve">Features and capabilities the platform must provide.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460"/>
        <w:gridCol w:w="180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FR-01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User-Friendly Interface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 an intuitive, easy-to-navigate interface for both web and mobile applications across all user types.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Charter; PRD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FR-02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Registration &amp; Profile Management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 secure registration and profile management for all user categories, with a verification process for businesses and non-profits.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Charter; PRD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FR-03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Food Listing &amp; Matching System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 donors to list surplus food (type, quantity, expiration date); allow recipients to search, claim, or request food by availability and proximity.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Charter; PRD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FR-04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Real-Time Notifications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users about new listings, matches, pickup arrangements, and status updates.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Charter; PRD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FR-05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Impact Tracking &amp; Reporting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key metrics (meals donated, food waste reduced, carbon emissions saved) and allow users to generate/download reports.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Charter; PRD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FR-06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Multilingual Support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 multiple languages, initially English, Spanish, French, and Mandarin, with room to expand.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Charter; PRD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FR-07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Third-Party Service Integration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Integrate with mapping tools, carbon footprint calculators, and social media for sharing impact stories.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Charter; PRD; Meeting 2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FR-08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 Support Features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 FAQs, chat support, and educational content/resources within the platform.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Charter; PRD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FR-09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Interactive Onboarding Tutorials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Guide new users through key processes using pop-up tutorials or a chatbot to reduce onboarding friction.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PRD; Meeting 3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FR-10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Simplified Sign-Up Process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 minimal initial information so new users can register and start quickly.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PRD; Meeting 3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5. Solution Requirements – Non-Functional</w:t>
      </w:r>
    </w:p>
    <w:p>
      <w:pPr>
        <w:spacing w:after="160"/>
      </w:pPr>
      <w:r>
        <w:rPr>
          <w:i/>
          <w:iCs/>
          <w:color w:val="444444"/>
        </w:rPr>
        <w:t xml:space="preserve">Conditions and qualities the solution must exhibit.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460"/>
        <w:gridCol w:w="180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NFR-01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Scalability &amp; Performance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 a growing number of users and transactions without compromising performance or user experience.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Charter; PRD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NFR-02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Security &amp; Privacy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Encrypt data at rest and in transit, use secure login protocols, and comply with GDPR, CCPA, and other data privacy regulations.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Charter; Meeting 1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NFR-03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Multi-Factor Authentication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 MFA for all access points, including internal users and API access.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Meeting 1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6. Quality Requirements</w:t>
      </w:r>
    </w:p>
    <w:p>
      <w:pPr>
        <w:spacing w:after="160"/>
      </w:pPr>
      <w:r>
        <w:rPr>
          <w:i/>
          <w:iCs/>
          <w:color w:val="444444"/>
        </w:rPr>
        <w:t xml:space="preserve">Conditions or criteria needed to validate successful delivery.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460"/>
        <w:gridCol w:w="180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QR-01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QA Review Cycles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Conduct regular quality assurance reviews and testing phases to confirm the platform meets defined standards before release.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Charter – Governance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QR-02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 Acceptance Testing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 formal UAT during the Testing &amp; QA phase prior to pilot and full launch.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Charter – Schedule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QR-03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Continuous Feedback Loops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Collect user feedback continuously and feed actionable insights back into development.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Charter – Governance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7. Project Requirements</w:t>
      </w:r>
    </w:p>
    <w:p>
      <w:pPr>
        <w:spacing w:after="160"/>
      </w:pPr>
      <w:r>
        <w:rPr>
          <w:i/>
          <w:iCs/>
          <w:color w:val="444444"/>
        </w:rPr>
        <w:t xml:space="preserve">Actions, processes, or conditions the project itself must satisfy.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460"/>
        <w:gridCol w:w="180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PJR-01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12-Month Delivery Timeline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 full platform development and launch within 12 months of project initiation.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Charter – Objectives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PJR-02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Budget Adherence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Operate within the $1,700,000 total budget, including the contingency reserve.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Charter – Budget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PJR-03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Regulatory Compliance Constraint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Comply with applicable food safety regulations and data privacy laws (GDPR, CCPA) across all operating regions.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Charter – Constraints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8. Summary</w:t>
      </w:r>
    </w:p>
    <w:p>
      <w:pPr>
        <w:spacing w:after="160"/>
      </w:pPr>
      <w:r>
        <w:t xml:space="preserve">A total of 25 requirements remain in scope after the team’s review: 4 business, 2 stakeholder, 10 functional, 3 non-functional, 3 quality, and 3 project requirements. No Transition requirements were retained. This document and the RTM should be kept in sync going forward — any further scope changes should be made in the RTM first, then reflected here.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6"/>
        <w:szCs w:val="16"/>
      </w:rPr>
      <w:t xml:space="preserve">Global Food Waste Reduction Network — Requirements Documentation (Rev. 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2026-07-02T13:10:52.835Z</dcterms:created>
  <dcterms:modified xsi:type="dcterms:W3CDTF">2026-07-02T13:10:52.836Z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