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t xml:space="preserve">This report has been automatically generated by sDyna software. </w:t>
      </w:r>
    </w:p>
    <w:p>
      <w:pPr>
        <w:pStyle w:val="Heading1"/>
      </w:pPr>
      <w:r>
        <w:t>Mass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</w:tr>
    </w:tbl>
    <w:p>
      <w:pPr>
        <w:pStyle w:val="Heading1"/>
      </w:pPr>
      <w:r>
        <w:t>Stiffness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198398.54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171821.02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85910.51</w:t>
            </w:r>
          </w:p>
        </w:tc>
      </w:tr>
    </w:tbl>
    <w:p>
      <w:pPr>
        <w:pStyle w:val="Heading1"/>
      </w:pPr>
      <w:r>
        <w:t>Damping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789.63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-579.14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-579.14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1390.62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-811.48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-811.48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811.48</w:t>
            </w:r>
          </w:p>
        </w:tc>
      </w:tr>
    </w:tbl>
    <w:p>
      <w:pPr>
        <w:pStyle w:val="Heading1"/>
      </w:pPr>
      <w:r>
        <w:t>Natural Frequencies and Periods</w:t>
      </w:r>
    </w:p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9.25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0.68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25.45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0.25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35.66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0.18 sec</w:t>
      </w:r>
    </w:p>
    <w:p>
      <w:r>
        <w:br w:type="page"/>
      </w:r>
    </w:p>
    <w:p>
      <w:pPr>
        <w:pStyle w:val="Heading1"/>
      </w:pPr>
      <w:r>
        <w:t>Modes' Amplitudes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1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2.08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2.69</w:t>
            </w:r>
          </w:p>
        </w:tc>
      </w:tr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2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0.59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-0.83</w:t>
            </w:r>
          </w:p>
        </w:tc>
      </w:tr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3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-1.06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0.45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Generalized Mass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2858.72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463.54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529.33</w:t>
            </w:r>
          </w:p>
        </w:tc>
      </w:tr>
    </w:tbl>
    <w:p>
      <w:pPr>
        <w:pStyle w:val="Heading1"/>
      </w:pPr>
      <w:r>
        <w:t>Generalized Stiffness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244660.84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300158.78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672947.17</w:t>
            </w:r>
          </w:p>
        </w:tc>
      </w:tr>
    </w:tbl>
    <w:p>
      <w:pPr>
        <w:pStyle w:val="Heading1"/>
      </w:pPr>
      <w:r>
        <w:t>Generalized Damping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1187.95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1944.11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4518.38</w:t>
            </w:r>
          </w:p>
        </w:tc>
      </w:tr>
    </w:tbl>
    <w:p>
      <w:pPr>
        <w:pStyle w:val="Heading1"/>
      </w:pPr>
      <w:r>
        <w:t>Modal Participating Factors</w:t>
      </w:r>
    </w:p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0.46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0.37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0.17 </w:t>
      </w:r>
    </w:p>
    <w:p>
      <w:pPr>
        <w:pStyle w:val="Heading1"/>
      </w:pPr>
      <w:r>
        <w:t>Effective Participating Mass of Each Mode</w:t>
      </w:r>
    </w:p>
    <w:p/>
    <w:p>
      <w:r>
        <w:rPr>
          <w:sz w:val="18"/>
        </w:rPr>
        <w:t>M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603.08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64.53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14.88 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rthquake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Displac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Accel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Psuedo Acceleration Respond Spectrum</w:t>
      </w:r>
    </w:p>
    <w:p/>
    <w:p>
      <w:r>
        <w:rPr>
          <w:sz w:val="22"/>
        </w:rPr>
        <w:t>S</w:t>
      </w:r>
      <w:r>
        <w:rPr>
          <w:sz w:val="22"/>
          <w:vertAlign w:val="subscript"/>
        </w:rPr>
        <w:t>ae1</w:t>
      </w:r>
      <w:r>
        <w:rPr>
          <w:sz w:val="22"/>
        </w:rPr>
        <w:t xml:space="preserve"> = 0.331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ae2</w:t>
      </w:r>
      <w:r>
        <w:rPr>
          <w:sz w:val="22"/>
        </w:rPr>
        <w:t xml:space="preserve"> = 0.598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ae3</w:t>
      </w:r>
      <w:r>
        <w:rPr>
          <w:sz w:val="22"/>
        </w:rPr>
        <w:t xml:space="preserve"> = 0.963 </w:t>
      </w:r>
    </w:p>
    <w:p>
      <w:pPr>
        <w:pStyle w:val="Heading1"/>
      </w:pPr>
      <w:r>
        <w:t>Modes' Base Shear Forces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x1</w:t>
      </w:r>
      <w:r>
        <w:rPr>
          <w:sz w:val="22"/>
        </w:rPr>
        <w:t xml:space="preserve"> = 1955.384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x2</w:t>
      </w:r>
      <w:r>
        <w:rPr>
          <w:sz w:val="22"/>
        </w:rPr>
        <w:t xml:space="preserve"> = 378.782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x3</w:t>
      </w:r>
      <w:r>
        <w:rPr>
          <w:sz w:val="22"/>
        </w:rPr>
        <w:t xml:space="preserve"> = 140.637 </w:t>
      </w:r>
    </w:p>
    <w:p>
      <w:pPr>
        <w:pStyle w:val="Heading1"/>
      </w:pPr>
      <w:r>
        <w:t>Total Base Shear Force with SRSS method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1996.693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