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41A86" w14:textId="77777777" w:rsidR="00A64E84" w:rsidRDefault="00A64E84" w:rsidP="00A64E84">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I. INTRODUCTION</w:t>
      </w:r>
      <w:r>
        <w:rPr>
          <w:rStyle w:val="eop"/>
          <w:color w:val="000000"/>
          <w:sz w:val="20"/>
          <w:szCs w:val="20"/>
          <w:bdr w:val="none" w:sz="0" w:space="0" w:color="auto" w:frame="1"/>
          <w:shd w:val="clear" w:color="auto" w:fill="C6C6C6"/>
        </w:rPr>
        <w:t> </w:t>
      </w:r>
    </w:p>
    <w:p w14:paraId="1DEA5B80" w14:textId="77777777" w:rsidR="00A64E84" w:rsidRDefault="00A64E84" w:rsidP="00A64E84">
      <w:pPr>
        <w:pStyle w:val="paragraph"/>
        <w:spacing w:before="0" w:beforeAutospacing="0" w:after="0" w:afterAutospacing="0"/>
        <w:jc w:val="both"/>
        <w:textAlignment w:val="baseline"/>
        <w:rPr>
          <w:rFonts w:ascii="Segoe UI" w:hAnsi="Segoe UI" w:cs="Segoe UI"/>
          <w:sz w:val="18"/>
          <w:szCs w:val="18"/>
        </w:rPr>
      </w:pPr>
      <w:r>
        <w:rPr>
          <w:rStyle w:val="normaltextrun"/>
          <w:color w:val="000000"/>
          <w:sz w:val="20"/>
          <w:szCs w:val="20"/>
        </w:rPr>
        <w:t>Question answering over banking regulations is a high-stakes task because a fluent response may still misstate an obligation, omit a governing condition, cite the wrong provision, or answer a question for which the available corpus provides no support. Reliability therefore requires more than semantic plausibility: a system should produce a correct answer, identify evidence at the appropriate legal granularity, and abstain when that evidence is absent. Evaluations of leading legal research tools have shown that systems designed specifically for legal use can still exhibit answer, source, citation, and completeness failures [1]. These risks are especially consequential for regulatory texts, where applicability may depend on the issuing authority, document status, article, clause, and qualifying conditions. A Vietnamese banking-regulation benchmark should consequently treat grounding and refusal behavior as primary outcomes rather than auxiliary features.</w:t>
      </w:r>
      <w:r>
        <w:rPr>
          <w:rStyle w:val="eop"/>
          <w:color w:val="000000"/>
          <w:sz w:val="20"/>
          <w:szCs w:val="20"/>
          <w:bdr w:val="none" w:sz="0" w:space="0" w:color="auto" w:frame="1"/>
          <w:shd w:val="clear" w:color="auto" w:fill="C6C6C6"/>
        </w:rPr>
        <w:t> </w:t>
      </w:r>
    </w:p>
    <w:p w14:paraId="42C508A7" w14:textId="77777777" w:rsidR="00A64E84" w:rsidRDefault="00A64E84" w:rsidP="00A64E84">
      <w:pPr>
        <w:pStyle w:val="paragraph"/>
        <w:spacing w:before="0" w:beforeAutospacing="0" w:after="0" w:afterAutospacing="0"/>
        <w:ind w:firstLine="240"/>
        <w:jc w:val="both"/>
        <w:textAlignment w:val="baseline"/>
        <w:rPr>
          <w:rFonts w:ascii="Segoe UI" w:hAnsi="Segoe UI" w:cs="Segoe UI"/>
          <w:sz w:val="18"/>
          <w:szCs w:val="18"/>
        </w:rPr>
      </w:pPr>
      <w:r>
        <w:rPr>
          <w:rStyle w:val="normaltextrun"/>
          <w:color w:val="000000"/>
          <w:sz w:val="20"/>
          <w:szCs w:val="20"/>
        </w:rPr>
        <w:t xml:space="preserve">Retrieval-augmented generation (RAG) offers </w:t>
      </w:r>
      <w:proofErr w:type="gramStart"/>
      <w:r>
        <w:rPr>
          <w:rStyle w:val="normaltextrun"/>
          <w:color w:val="000000"/>
          <w:sz w:val="20"/>
          <w:szCs w:val="20"/>
        </w:rPr>
        <w:t>a natural</w:t>
      </w:r>
      <w:proofErr w:type="gramEnd"/>
      <w:r>
        <w:rPr>
          <w:rStyle w:val="normaltextrun"/>
          <w:color w:val="000000"/>
          <w:sz w:val="20"/>
          <w:szCs w:val="20"/>
        </w:rPr>
        <w:t xml:space="preserve"> architecture for this objective by coupling a parametric generator with a non-parametric retrieval index [2]. Retrieved passages can expose the provenance of an answer and permit errors to be traced to either evidence selection or evidence use. Retrieval, however, will not by itself guarantee a supported response. Citation-aware generation research distinguishes answer quality from citation correctness and citation completeness: a coherent answer may cite evidence that does not support its claims or may leave material claims uncited [3]. This distinction is sharper in law, where a document-level reference may be insufficient when the relevant authority is a particular article or clause. Small open model families such as Qwen2.5 may make controlled local deployment feasible [4], but general technical reports do not establish legal accuracy, citation faithfulness, or calibrated abstention. The proposed study will therefore evaluate RAG as a testable pipeline, not </w:t>
      </w:r>
      <w:proofErr w:type="gramStart"/>
      <w:r>
        <w:rPr>
          <w:rStyle w:val="normaltextrun"/>
          <w:color w:val="000000"/>
          <w:sz w:val="20"/>
          <w:szCs w:val="20"/>
        </w:rPr>
        <w:t>assume</w:t>
      </w:r>
      <w:proofErr w:type="gramEnd"/>
      <w:r>
        <w:rPr>
          <w:rStyle w:val="normaltextrun"/>
          <w:color w:val="000000"/>
          <w:sz w:val="20"/>
          <w:szCs w:val="20"/>
        </w:rPr>
        <w:t xml:space="preserve"> it to be a remedy for hallucination.</w:t>
      </w:r>
      <w:r>
        <w:rPr>
          <w:rStyle w:val="eop"/>
          <w:color w:val="000000"/>
          <w:sz w:val="20"/>
          <w:szCs w:val="20"/>
          <w:bdr w:val="none" w:sz="0" w:space="0" w:color="auto" w:frame="1"/>
          <w:shd w:val="clear" w:color="auto" w:fill="C6C6C6"/>
        </w:rPr>
        <w:t> </w:t>
      </w:r>
    </w:p>
    <w:p w14:paraId="1BE9CFA1" w14:textId="77777777" w:rsidR="00A64E84" w:rsidRDefault="00A64E84" w:rsidP="00A64E84">
      <w:pPr>
        <w:pStyle w:val="paragraph"/>
        <w:spacing w:before="0" w:beforeAutospacing="0" w:after="0" w:afterAutospacing="0"/>
        <w:ind w:firstLine="240"/>
        <w:jc w:val="both"/>
        <w:textAlignment w:val="baseline"/>
        <w:rPr>
          <w:rFonts w:ascii="Segoe UI" w:hAnsi="Segoe UI" w:cs="Segoe UI"/>
          <w:sz w:val="18"/>
          <w:szCs w:val="18"/>
        </w:rPr>
      </w:pPr>
      <w:r>
        <w:rPr>
          <w:rStyle w:val="normaltextrun"/>
          <w:color w:val="000000"/>
          <w:sz w:val="20"/>
          <w:szCs w:val="20"/>
        </w:rPr>
        <w:t xml:space="preserve">Vietnamese legal NLP already provides important foundations. VLQA frames Vietnamese legal question answering around questions, answers, and legal evidence [5], while </w:t>
      </w:r>
      <w:proofErr w:type="spellStart"/>
      <w:r>
        <w:rPr>
          <w:rStyle w:val="normaltextrun"/>
          <w:color w:val="000000"/>
          <w:sz w:val="20"/>
          <w:szCs w:val="20"/>
        </w:rPr>
        <w:t>VLegal</w:t>
      </w:r>
      <w:proofErr w:type="spellEnd"/>
      <w:r>
        <w:rPr>
          <w:rStyle w:val="normaltextrun"/>
          <w:color w:val="000000"/>
          <w:sz w:val="20"/>
          <w:szCs w:val="20"/>
        </w:rPr>
        <w:t xml:space="preserve">-Bench broadens evaluation toward cognitively grounded, multi-task legal reasoning [6]. Work on small models directly examines the feasibility of compact systems for Vietnamese legal reasoning [7], and </w:t>
      </w:r>
      <w:proofErr w:type="spellStart"/>
      <w:r>
        <w:rPr>
          <w:rStyle w:val="normaltextrun"/>
          <w:color w:val="000000"/>
          <w:sz w:val="20"/>
          <w:szCs w:val="20"/>
        </w:rPr>
        <w:t>ViLegalLM</w:t>
      </w:r>
      <w:proofErr w:type="spellEnd"/>
      <w:r>
        <w:rPr>
          <w:rStyle w:val="normaltextrun"/>
          <w:color w:val="000000"/>
          <w:sz w:val="20"/>
          <w:szCs w:val="20"/>
        </w:rPr>
        <w:t xml:space="preserve"> studies language models adapted to Vietnamese legal text [8]. Vietnamese legal information-retrieval research further motivates lexical and dense retrieval for question-answering pipelines [9]. In parallel, </w:t>
      </w:r>
      <w:proofErr w:type="spellStart"/>
      <w:r>
        <w:rPr>
          <w:rStyle w:val="normaltextrun"/>
          <w:color w:val="000000"/>
          <w:sz w:val="20"/>
          <w:szCs w:val="20"/>
        </w:rPr>
        <w:t>LegalBench</w:t>
      </w:r>
      <w:proofErr w:type="spellEnd"/>
      <w:r>
        <w:rPr>
          <w:rStyle w:val="normaltextrun"/>
          <w:color w:val="000000"/>
          <w:sz w:val="20"/>
          <w:szCs w:val="20"/>
        </w:rPr>
        <w:t xml:space="preserve">-RAG isolates legal retrieval against gold supporting spans [10], whereas Legal RAG Bench emphasizes end-to-end and component-wise evaluation [11]. These strands establish that neither Vietnamese legal QA nor legal RAG is an empty research area. Within the reviewed local sources, however, no benchmark was identified that jointly targets Vietnamese banking regulations, locally deployable small open models, a controlled closed-book/BM25/dense-RAG comparison, exact article-or-clause citation, unanswerable questions, and separate attribution of retrieval, generation, hallucination, and citation errors. </w:t>
      </w:r>
      <w:proofErr w:type="spellStart"/>
      <w:r>
        <w:rPr>
          <w:rStyle w:val="normaltextrun"/>
          <w:color w:val="000000"/>
          <w:sz w:val="20"/>
          <w:szCs w:val="20"/>
        </w:rPr>
        <w:t>RegRAG</w:t>
      </w:r>
      <w:proofErr w:type="spellEnd"/>
      <w:r>
        <w:rPr>
          <w:rStyle w:val="normaltextrun"/>
          <w:color w:val="000000"/>
          <w:sz w:val="20"/>
          <w:szCs w:val="20"/>
        </w:rPr>
        <w:t>-VN will address this conjunction rather than claim priority over Vietnamese legal AI generally.</w:t>
      </w:r>
      <w:r>
        <w:rPr>
          <w:rStyle w:val="eop"/>
          <w:color w:val="000000"/>
          <w:sz w:val="20"/>
          <w:szCs w:val="20"/>
        </w:rPr>
        <w:t> </w:t>
      </w:r>
    </w:p>
    <w:p w14:paraId="73CF089C" w14:textId="77777777" w:rsidR="00A64E84" w:rsidRDefault="00A64E84" w:rsidP="00A64E84">
      <w:pPr>
        <w:pStyle w:val="paragraph"/>
        <w:spacing w:before="0" w:beforeAutospacing="0" w:after="0" w:afterAutospacing="0"/>
        <w:ind w:firstLine="240"/>
        <w:jc w:val="both"/>
        <w:textAlignment w:val="baseline"/>
        <w:rPr>
          <w:rFonts w:ascii="Segoe UI" w:hAnsi="Segoe UI" w:cs="Segoe UI"/>
          <w:sz w:val="18"/>
          <w:szCs w:val="18"/>
        </w:rPr>
      </w:pPr>
      <w:proofErr w:type="spellStart"/>
      <w:r>
        <w:rPr>
          <w:rStyle w:val="normaltextrun"/>
          <w:color w:val="000000"/>
          <w:sz w:val="20"/>
          <w:szCs w:val="20"/>
        </w:rPr>
        <w:t>RegRAG</w:t>
      </w:r>
      <w:proofErr w:type="spellEnd"/>
      <w:r>
        <w:rPr>
          <w:rStyle w:val="normaltextrun"/>
          <w:color w:val="000000"/>
          <w:sz w:val="20"/>
          <w:szCs w:val="20"/>
        </w:rPr>
        <w:t>-VN will construct a focused corpus from in-force circulars of the State Bank of Vietnam concerning card payments and electronic banking. It will segment documents at article or clause level while preserving legal hierarchy and validity metadata, and it will pair answerable and unanswerable questions with reference answers and exact legal citations. Two open models of no more than 7B parameters will be evaluated under three controlled conditions: closed-book generation, RAG with BM25, and RAG with multilingual dense embeddings. The study will measure answer correctness, claim-level hallucination</w:t>
      </w:r>
      <w:proofErr w:type="gramStart"/>
      <w:r>
        <w:rPr>
          <w:rStyle w:val="normaltextrun"/>
          <w:color w:val="000000"/>
          <w:sz w:val="20"/>
          <w:szCs w:val="20"/>
        </w:rPr>
        <w:t>, citation</w:t>
      </w:r>
      <w:proofErr w:type="gramEnd"/>
      <w:r>
        <w:rPr>
          <w:rStyle w:val="normaltextrun"/>
          <w:color w:val="000000"/>
          <w:sz w:val="20"/>
          <w:szCs w:val="20"/>
        </w:rPr>
        <w:t xml:space="preserve"> accuracy and support, retrieval quality, and abstention. Two independent annotators evaluated answer correctness, and their agreement is reported in Sec. III. Its intended contributions will be fourfold: (1) a focused benchmark design for Vietnamese banking-regulation QA; (2) a controlled comparison that will separate model behavior from lexical and dense retrieval choices; (3) an evaluation protocol that will distinguish retrieval failure, unsupported generation, citation mismatch, and failure to abstain; and (4) reproducible indexing, generation, evaluation, and result artifacts. These contributions will integrate established methods for a specific regulatory setting without asserting that the underlying RAG, retrieval, or evaluation techniques are themselves novel.</w:t>
      </w:r>
      <w:r>
        <w:rPr>
          <w:rStyle w:val="eop"/>
          <w:color w:val="000000"/>
          <w:sz w:val="20"/>
          <w:szCs w:val="20"/>
          <w:bdr w:val="none" w:sz="0" w:space="0" w:color="auto" w:frame="1"/>
          <w:shd w:val="clear" w:color="auto" w:fill="C6C6C6"/>
        </w:rPr>
        <w:t> </w:t>
      </w:r>
    </w:p>
    <w:p w14:paraId="688A408E" w14:textId="77777777" w:rsidR="00A64E84" w:rsidRDefault="00A64E84" w:rsidP="00A64E84">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II. RELATED WORK</w:t>
      </w:r>
      <w:r>
        <w:rPr>
          <w:rStyle w:val="eop"/>
          <w:color w:val="000000"/>
          <w:sz w:val="20"/>
          <w:szCs w:val="20"/>
          <w:bdr w:val="none" w:sz="0" w:space="0" w:color="auto" w:frame="1"/>
          <w:shd w:val="clear" w:color="auto" w:fill="C6C6C6"/>
        </w:rPr>
        <w:t> </w:t>
      </w:r>
    </w:p>
    <w:p w14:paraId="1ADB7968" w14:textId="77777777" w:rsidR="00A64E84" w:rsidRDefault="00A64E84" w:rsidP="00A64E84">
      <w:pPr>
        <w:pStyle w:val="paragraph"/>
        <w:spacing w:before="0" w:beforeAutospacing="0" w:after="0" w:afterAutospacing="0"/>
        <w:textAlignment w:val="baseline"/>
        <w:rPr>
          <w:rFonts w:ascii="Segoe UI" w:hAnsi="Segoe UI" w:cs="Segoe UI"/>
          <w:sz w:val="18"/>
          <w:szCs w:val="18"/>
        </w:rPr>
      </w:pPr>
      <w:r>
        <w:rPr>
          <w:rStyle w:val="normaltextrun"/>
          <w:i/>
          <w:iCs/>
          <w:color w:val="000000"/>
          <w:sz w:val="20"/>
          <w:szCs w:val="20"/>
        </w:rPr>
        <w:t>A. Grounded Generation and Citation Reliability</w:t>
      </w:r>
      <w:r>
        <w:rPr>
          <w:rStyle w:val="eop"/>
          <w:color w:val="000000"/>
          <w:sz w:val="20"/>
          <w:szCs w:val="20"/>
          <w:bdr w:val="none" w:sz="0" w:space="0" w:color="auto" w:frame="1"/>
          <w:shd w:val="clear" w:color="auto" w:fill="C6C6C6"/>
        </w:rPr>
        <w:t> </w:t>
      </w:r>
    </w:p>
    <w:p w14:paraId="70CD3AE2" w14:textId="77777777" w:rsidR="00A64E84" w:rsidRDefault="00A64E84" w:rsidP="00A64E84">
      <w:pPr>
        <w:pStyle w:val="paragraph"/>
        <w:spacing w:before="0" w:beforeAutospacing="0" w:after="0" w:afterAutospacing="0"/>
        <w:jc w:val="both"/>
        <w:textAlignment w:val="baseline"/>
        <w:rPr>
          <w:rFonts w:ascii="Segoe UI" w:hAnsi="Segoe UI" w:cs="Segoe UI"/>
          <w:sz w:val="18"/>
          <w:szCs w:val="18"/>
        </w:rPr>
      </w:pPr>
      <w:r>
        <w:rPr>
          <w:rStyle w:val="normaltextrun"/>
          <w:color w:val="000000"/>
          <w:sz w:val="20"/>
          <w:szCs w:val="20"/>
        </w:rPr>
        <w:t>Foundational RAG uses external retrieval as non-parametric memory that conditions generation on passages selected from an index [2]. This creates inspectable provenance, but two stages remain: retrieval must surface relevant material, and generation must use it faithfully. Citation-aware generation makes the second distinction explicit by evaluating citation correctness and completeness separately from answer quality [3]. Legal reliability studies add a domain-specific warning: an answer can fail through an incorrect proposition, inappropriate source, defective citation, or material omission [1]. References alone therefore do not ground generated text.</w:t>
      </w:r>
      <w:r>
        <w:rPr>
          <w:rStyle w:val="eop"/>
          <w:color w:val="000000"/>
          <w:sz w:val="20"/>
          <w:szCs w:val="20"/>
          <w:bdr w:val="none" w:sz="0" w:space="0" w:color="auto" w:frame="1"/>
          <w:shd w:val="clear" w:color="auto" w:fill="C6C6C6"/>
        </w:rPr>
        <w:t> </w:t>
      </w:r>
    </w:p>
    <w:p w14:paraId="0C58E179" w14:textId="77777777" w:rsidR="00A64E84" w:rsidRDefault="00A64E84" w:rsidP="00A64E84">
      <w:pPr>
        <w:pStyle w:val="paragraph"/>
        <w:spacing w:before="0" w:beforeAutospacing="0" w:after="0" w:afterAutospacing="0"/>
        <w:ind w:firstLine="240"/>
        <w:jc w:val="both"/>
        <w:textAlignment w:val="baseline"/>
        <w:rPr>
          <w:rFonts w:ascii="Segoe UI" w:hAnsi="Segoe UI" w:cs="Segoe UI"/>
          <w:sz w:val="18"/>
          <w:szCs w:val="18"/>
        </w:rPr>
      </w:pPr>
      <w:r>
        <w:rPr>
          <w:rStyle w:val="normaltextrun"/>
          <w:color w:val="000000"/>
          <w:sz w:val="20"/>
          <w:szCs w:val="20"/>
        </w:rPr>
        <w:t xml:space="preserve">Legal RAG benchmarks </w:t>
      </w:r>
      <w:proofErr w:type="gramStart"/>
      <w:r>
        <w:rPr>
          <w:rStyle w:val="normaltextrun"/>
          <w:color w:val="000000"/>
          <w:sz w:val="20"/>
          <w:szCs w:val="20"/>
        </w:rPr>
        <w:t>operationalize</w:t>
      </w:r>
      <w:proofErr w:type="gramEnd"/>
      <w:r>
        <w:rPr>
          <w:rStyle w:val="normaltextrun"/>
          <w:color w:val="000000"/>
          <w:sz w:val="20"/>
          <w:szCs w:val="20"/>
        </w:rPr>
        <w:t xml:space="preserve"> complementary parts of this pipeline. </w:t>
      </w:r>
      <w:proofErr w:type="spellStart"/>
      <w:r>
        <w:rPr>
          <w:rStyle w:val="normaltextrun"/>
          <w:color w:val="000000"/>
          <w:sz w:val="20"/>
          <w:szCs w:val="20"/>
        </w:rPr>
        <w:t>LegalBench</w:t>
      </w:r>
      <w:proofErr w:type="spellEnd"/>
      <w:r>
        <w:rPr>
          <w:rStyle w:val="normaltextrun"/>
          <w:color w:val="000000"/>
          <w:sz w:val="20"/>
          <w:szCs w:val="20"/>
        </w:rPr>
        <w:t xml:space="preserve">-RAG focuses on retrieval against gold supporting spans, preventing generation quality from concealing evidence-selection errors [10]. Legal RAG Bench instead motivates end-to-end reporting alongside component measures, since a strong retrieval </w:t>
      </w:r>
      <w:r>
        <w:rPr>
          <w:rStyle w:val="normaltextrun"/>
          <w:color w:val="000000"/>
          <w:sz w:val="20"/>
          <w:szCs w:val="20"/>
        </w:rPr>
        <w:lastRenderedPageBreak/>
        <w:t xml:space="preserve">score does not establish that the final answer is correct or supported [11]. </w:t>
      </w:r>
      <w:proofErr w:type="spellStart"/>
      <w:r>
        <w:rPr>
          <w:rStyle w:val="normaltextrun"/>
          <w:color w:val="000000"/>
          <w:sz w:val="20"/>
          <w:szCs w:val="20"/>
        </w:rPr>
        <w:t>RegRAG</w:t>
      </w:r>
      <w:proofErr w:type="spellEnd"/>
      <w:r>
        <w:rPr>
          <w:rStyle w:val="normaltextrun"/>
          <w:color w:val="000000"/>
          <w:sz w:val="20"/>
          <w:szCs w:val="20"/>
        </w:rPr>
        <w:t>-VN will combine these perspectives. If no gold clause appears in the retrieved context, the error will be classified as retrieval failure; if the clause is available but the response introduces an unsupported claim, it will be classified as generation failure; and if the answer names an incorrect or non-supporting provision, it will be classified as citation mismatch. This separation will make RAG failures interpretable rather than collapse them into one score.</w:t>
      </w:r>
      <w:r>
        <w:rPr>
          <w:rStyle w:val="eop"/>
          <w:color w:val="000000"/>
          <w:sz w:val="20"/>
          <w:szCs w:val="20"/>
          <w:bdr w:val="none" w:sz="0" w:space="0" w:color="auto" w:frame="1"/>
          <w:shd w:val="clear" w:color="auto" w:fill="C6C6C6"/>
        </w:rPr>
        <w:t> </w:t>
      </w:r>
    </w:p>
    <w:p w14:paraId="48CE8BB0" w14:textId="77777777" w:rsidR="00A64E84" w:rsidRDefault="00A64E84" w:rsidP="00A64E84">
      <w:pPr>
        <w:pStyle w:val="paragraph"/>
        <w:spacing w:before="0" w:beforeAutospacing="0" w:after="0" w:afterAutospacing="0"/>
        <w:textAlignment w:val="baseline"/>
        <w:rPr>
          <w:rFonts w:ascii="Segoe UI" w:hAnsi="Segoe UI" w:cs="Segoe UI"/>
          <w:sz w:val="18"/>
          <w:szCs w:val="18"/>
        </w:rPr>
      </w:pPr>
      <w:r>
        <w:rPr>
          <w:rStyle w:val="normaltextrun"/>
          <w:i/>
          <w:iCs/>
          <w:color w:val="000000"/>
          <w:sz w:val="20"/>
          <w:szCs w:val="20"/>
        </w:rPr>
        <w:t>B. Vietnamese Legal NLP</w:t>
      </w:r>
      <w:r>
        <w:rPr>
          <w:rStyle w:val="eop"/>
          <w:color w:val="000000"/>
          <w:sz w:val="20"/>
          <w:szCs w:val="20"/>
          <w:bdr w:val="none" w:sz="0" w:space="0" w:color="auto" w:frame="1"/>
          <w:shd w:val="clear" w:color="auto" w:fill="C6C6C6"/>
        </w:rPr>
        <w:t> </w:t>
      </w:r>
    </w:p>
    <w:p w14:paraId="36D1C9A3" w14:textId="77777777" w:rsidR="00A64E84" w:rsidRDefault="00A64E84" w:rsidP="00A64E84">
      <w:pPr>
        <w:pStyle w:val="paragraph"/>
        <w:spacing w:before="0" w:beforeAutospacing="0" w:after="0" w:afterAutospacing="0"/>
        <w:jc w:val="both"/>
        <w:textAlignment w:val="baseline"/>
        <w:rPr>
          <w:rFonts w:ascii="Segoe UI" w:hAnsi="Segoe UI" w:cs="Segoe UI"/>
          <w:sz w:val="18"/>
          <w:szCs w:val="18"/>
        </w:rPr>
      </w:pPr>
      <w:r>
        <w:rPr>
          <w:rStyle w:val="normaltextrun"/>
          <w:color w:val="000000"/>
          <w:sz w:val="20"/>
          <w:szCs w:val="20"/>
        </w:rPr>
        <w:t xml:space="preserve">Existing Vietnamese legal NLP spans dataset construction, reasoning evaluation, domain adaptation, and information retrieval. VLQA supplies a legal QA formulation in which questions and answers are linked to legal evidence [5]. </w:t>
      </w:r>
      <w:proofErr w:type="spellStart"/>
      <w:r>
        <w:rPr>
          <w:rStyle w:val="normaltextrun"/>
          <w:color w:val="000000"/>
          <w:sz w:val="20"/>
          <w:szCs w:val="20"/>
        </w:rPr>
        <w:t>VLegal</w:t>
      </w:r>
      <w:proofErr w:type="spellEnd"/>
      <w:r>
        <w:rPr>
          <w:rStyle w:val="normaltextrun"/>
          <w:color w:val="000000"/>
          <w:sz w:val="20"/>
          <w:szCs w:val="20"/>
        </w:rPr>
        <w:t xml:space="preserve">-Bench extends the evaluation perspective across multiple forms of legal reasoning rather than reducing capability to a single free-form QA measure [6]. These resources are complemented by work that asks whether small language models can handle Vietnamese legal reasoning [7] and by </w:t>
      </w:r>
      <w:proofErr w:type="spellStart"/>
      <w:r>
        <w:rPr>
          <w:rStyle w:val="normaltextrun"/>
          <w:color w:val="000000"/>
          <w:sz w:val="20"/>
          <w:szCs w:val="20"/>
        </w:rPr>
        <w:t>ViLegalLM</w:t>
      </w:r>
      <w:proofErr w:type="spellEnd"/>
      <w:r>
        <w:rPr>
          <w:rStyle w:val="normaltextrun"/>
          <w:color w:val="000000"/>
          <w:sz w:val="20"/>
          <w:szCs w:val="20"/>
        </w:rPr>
        <w:t>, which investigates models tailored to Vietnamese legal text [8]. Together, they establish relevant schemas, task taxonomies, and model baselines for the proposed study.</w:t>
      </w:r>
      <w:r>
        <w:rPr>
          <w:rStyle w:val="eop"/>
          <w:color w:val="000000"/>
          <w:sz w:val="20"/>
          <w:szCs w:val="20"/>
        </w:rPr>
        <w:t> </w:t>
      </w:r>
    </w:p>
    <w:p w14:paraId="29313EDE" w14:textId="77777777" w:rsidR="00A64E84" w:rsidRDefault="00A64E84" w:rsidP="00A64E84">
      <w:pPr>
        <w:pStyle w:val="paragraph"/>
        <w:spacing w:before="0" w:beforeAutospacing="0" w:after="0" w:afterAutospacing="0"/>
        <w:ind w:firstLine="240"/>
        <w:jc w:val="both"/>
        <w:textAlignment w:val="baseline"/>
        <w:rPr>
          <w:rFonts w:ascii="Segoe UI" w:hAnsi="Segoe UI" w:cs="Segoe UI"/>
          <w:sz w:val="18"/>
          <w:szCs w:val="18"/>
        </w:rPr>
      </w:pPr>
      <w:r>
        <w:rPr>
          <w:rStyle w:val="normaltextrun"/>
          <w:color w:val="000000"/>
          <w:sz w:val="20"/>
          <w:szCs w:val="20"/>
        </w:rPr>
        <w:t xml:space="preserve">The lines of work nevertheless answer different questions. Domain-adapted language modeling may improve representation of legal language, but it does not demonstrate that a generated claim is supported by a retrieved clause. Likewise, multi-task reasoning scores do not isolate whether an error originated in retrieval, evidence use, or citation production. Vietnamese legal information-retrieval research provides a closer precedent for comparing lexical, dense, and hybrid search in a QA setting [9], yet retrieval performance alone does not measure hallucination or abstention. </w:t>
      </w:r>
      <w:proofErr w:type="spellStart"/>
      <w:r>
        <w:rPr>
          <w:rStyle w:val="normaltextrun"/>
          <w:color w:val="000000"/>
          <w:sz w:val="20"/>
          <w:szCs w:val="20"/>
        </w:rPr>
        <w:t>RegRAG</w:t>
      </w:r>
      <w:proofErr w:type="spellEnd"/>
      <w:r>
        <w:rPr>
          <w:rStyle w:val="normaltextrun"/>
          <w:color w:val="000000"/>
          <w:sz w:val="20"/>
          <w:szCs w:val="20"/>
        </w:rPr>
        <w:t xml:space="preserve">-VN will therefore narrow the domain to banking circulars and connect retrieval evaluation to exact legal-unit citations and answer support. Its proposed contribution will not duplicate broad Vietnamese legal QA or reasoning benchmarks; it will test how compact generators behave when evidence availability, retrieval method, citation granularity, and </w:t>
      </w:r>
      <w:proofErr w:type="spellStart"/>
      <w:r>
        <w:rPr>
          <w:rStyle w:val="normaltextrun"/>
          <w:color w:val="000000"/>
          <w:sz w:val="20"/>
          <w:szCs w:val="20"/>
        </w:rPr>
        <w:t>unanswerability</w:t>
      </w:r>
      <w:proofErr w:type="spellEnd"/>
      <w:r>
        <w:rPr>
          <w:rStyle w:val="normaltextrun"/>
          <w:color w:val="000000"/>
          <w:sz w:val="20"/>
          <w:szCs w:val="20"/>
        </w:rPr>
        <w:t xml:space="preserve"> are controlled within one regulatory corpus.</w:t>
      </w:r>
      <w:r>
        <w:rPr>
          <w:rStyle w:val="eop"/>
          <w:color w:val="000000"/>
          <w:sz w:val="20"/>
          <w:szCs w:val="20"/>
          <w:bdr w:val="none" w:sz="0" w:space="0" w:color="auto" w:frame="1"/>
          <w:shd w:val="clear" w:color="auto" w:fill="C6C6C6"/>
        </w:rPr>
        <w:t> </w:t>
      </w:r>
    </w:p>
    <w:p w14:paraId="61459D84" w14:textId="77777777" w:rsidR="00A64E84" w:rsidRDefault="00A64E84" w:rsidP="00A64E84">
      <w:pPr>
        <w:pStyle w:val="paragraph"/>
        <w:spacing w:before="0" w:beforeAutospacing="0" w:after="0" w:afterAutospacing="0"/>
        <w:textAlignment w:val="baseline"/>
        <w:rPr>
          <w:rFonts w:ascii="Segoe UI" w:hAnsi="Segoe UI" w:cs="Segoe UI"/>
          <w:sz w:val="18"/>
          <w:szCs w:val="18"/>
        </w:rPr>
      </w:pPr>
      <w:r>
        <w:rPr>
          <w:rStyle w:val="normaltextrun"/>
          <w:i/>
          <w:iCs/>
          <w:color w:val="000000"/>
          <w:sz w:val="20"/>
          <w:szCs w:val="20"/>
        </w:rPr>
        <w:t>C. Retriever, Model, and Context Choices</w:t>
      </w:r>
      <w:r>
        <w:rPr>
          <w:rStyle w:val="eop"/>
          <w:color w:val="000000"/>
          <w:sz w:val="20"/>
          <w:szCs w:val="20"/>
          <w:bdr w:val="none" w:sz="0" w:space="0" w:color="auto" w:frame="1"/>
          <w:shd w:val="clear" w:color="auto" w:fill="C6C6C6"/>
        </w:rPr>
        <w:t> </w:t>
      </w:r>
    </w:p>
    <w:p w14:paraId="46B8CD1C" w14:textId="77777777" w:rsidR="00A64E84" w:rsidRDefault="00A64E84" w:rsidP="00A64E84">
      <w:pPr>
        <w:pStyle w:val="paragraph"/>
        <w:spacing w:before="0" w:beforeAutospacing="0" w:after="0" w:afterAutospacing="0"/>
        <w:jc w:val="both"/>
        <w:textAlignment w:val="baseline"/>
        <w:rPr>
          <w:rFonts w:ascii="Segoe UI" w:hAnsi="Segoe UI" w:cs="Segoe UI"/>
          <w:sz w:val="18"/>
          <w:szCs w:val="18"/>
        </w:rPr>
      </w:pPr>
      <w:r>
        <w:rPr>
          <w:rStyle w:val="normaltextrun"/>
          <w:color w:val="000000"/>
          <w:sz w:val="20"/>
          <w:szCs w:val="20"/>
        </w:rPr>
        <w:t xml:space="preserve">Retriever selection should remain an empirical question. BEIR demonstrates substantial domain variation in zero-shot retrieval and supports BM25 as a serious baseline rather than an obsolete comparator [12]. Dense retrieval may capture semantic similarity that lexical matching misses, but broad multilingual performance does not establish superiority for Vietnamese provisions containing specialized terminology, cross-references, and repeated legal formulations. Multilingual E5 provides a plausible dense embedding family for the proposed comparison [13]. </w:t>
      </w:r>
      <w:proofErr w:type="spellStart"/>
      <w:r>
        <w:rPr>
          <w:rStyle w:val="normaltextrun"/>
          <w:color w:val="000000"/>
          <w:sz w:val="20"/>
          <w:szCs w:val="20"/>
        </w:rPr>
        <w:t>RegRAG</w:t>
      </w:r>
      <w:proofErr w:type="spellEnd"/>
      <w:r>
        <w:rPr>
          <w:rStyle w:val="normaltextrun"/>
          <w:color w:val="000000"/>
          <w:sz w:val="20"/>
          <w:szCs w:val="20"/>
        </w:rPr>
        <w:t>-VN will therefore compare BM25 and a fixed multilingual E5 checkpoint under identical corpus units, top-</w:t>
      </w:r>
      <w:r>
        <w:rPr>
          <w:rStyle w:val="normaltextrun"/>
          <w:i/>
          <w:iCs/>
          <w:color w:val="000000"/>
          <w:sz w:val="20"/>
          <w:szCs w:val="20"/>
        </w:rPr>
        <w:t>k</w:t>
      </w:r>
      <w:r>
        <w:rPr>
          <w:rStyle w:val="normaltextrun"/>
          <w:color w:val="000000"/>
          <w:sz w:val="20"/>
          <w:szCs w:val="20"/>
        </w:rPr>
        <w:t>, token budgets, and evaluation criteria. It will not presuppose that either method will dominate.</w:t>
      </w:r>
      <w:r>
        <w:rPr>
          <w:rStyle w:val="eop"/>
          <w:color w:val="000000"/>
          <w:sz w:val="20"/>
          <w:szCs w:val="20"/>
          <w:bdr w:val="none" w:sz="0" w:space="0" w:color="auto" w:frame="1"/>
          <w:shd w:val="clear" w:color="auto" w:fill="C6C6C6"/>
        </w:rPr>
        <w:t> </w:t>
      </w:r>
    </w:p>
    <w:p w14:paraId="3AA18430" w14:textId="77777777" w:rsidR="00A64E84" w:rsidRDefault="00A64E84" w:rsidP="00A64E84">
      <w:pPr>
        <w:pStyle w:val="paragraph"/>
        <w:spacing w:before="0" w:beforeAutospacing="0" w:after="0" w:afterAutospacing="0"/>
        <w:ind w:firstLine="240"/>
        <w:jc w:val="both"/>
        <w:textAlignment w:val="baseline"/>
        <w:rPr>
          <w:rFonts w:ascii="Segoe UI" w:hAnsi="Segoe UI" w:cs="Segoe UI"/>
          <w:sz w:val="18"/>
          <w:szCs w:val="18"/>
        </w:rPr>
      </w:pPr>
      <w:r>
        <w:rPr>
          <w:rStyle w:val="normaltextrun"/>
          <w:color w:val="000000"/>
          <w:sz w:val="20"/>
          <w:szCs w:val="20"/>
        </w:rPr>
        <w:t>Generator and context choices create additional confounds. Qwen2.5 documents a compact multilingual model family suitable for a locally deployable baseline [4], but such model documentation is not evidence of Vietnamese legal reliability. The experiment will consequently treat generator identity as a controlled factor rather than infer domain competence from general benchmarks. Moreover, long context capacity does not ensure uniform use of evidence. “Lost in the Middle” shows that models can use relevant information differently depending on its position in the context [14]. Passage ordering, the position of gold evidence, and the shared context budget could otherwise be mistaken for retriever effects. The proposed protocol will fix or counterbalance these variables across lexical and dense conditions so that differences can be attributed more credibly to retrieval and evidence use.</w:t>
      </w:r>
      <w:r>
        <w:rPr>
          <w:rStyle w:val="eop"/>
          <w:color w:val="000000"/>
          <w:sz w:val="20"/>
          <w:szCs w:val="20"/>
          <w:bdr w:val="none" w:sz="0" w:space="0" w:color="auto" w:frame="1"/>
          <w:shd w:val="clear" w:color="auto" w:fill="C6C6C6"/>
        </w:rPr>
        <w:t> </w:t>
      </w:r>
    </w:p>
    <w:p w14:paraId="6158F72F" w14:textId="77777777" w:rsidR="00A64E84" w:rsidRDefault="00A64E84" w:rsidP="00A64E84">
      <w:pPr>
        <w:pStyle w:val="paragraph"/>
        <w:spacing w:before="0" w:beforeAutospacing="0" w:after="0" w:afterAutospacing="0"/>
        <w:textAlignment w:val="baseline"/>
        <w:rPr>
          <w:rFonts w:ascii="Segoe UI" w:hAnsi="Segoe UI" w:cs="Segoe UI"/>
          <w:sz w:val="18"/>
          <w:szCs w:val="18"/>
        </w:rPr>
      </w:pPr>
      <w:r>
        <w:rPr>
          <w:rStyle w:val="normaltextrun"/>
          <w:i/>
          <w:iCs/>
          <w:color w:val="000000"/>
          <w:sz w:val="20"/>
          <w:szCs w:val="20"/>
        </w:rPr>
        <w:t xml:space="preserve">D. </w:t>
      </w:r>
      <w:proofErr w:type="spellStart"/>
      <w:r>
        <w:rPr>
          <w:rStyle w:val="normaltextrun"/>
          <w:i/>
          <w:iCs/>
          <w:color w:val="000000"/>
          <w:sz w:val="20"/>
          <w:szCs w:val="20"/>
        </w:rPr>
        <w:t>Unanswerability</w:t>
      </w:r>
      <w:proofErr w:type="spellEnd"/>
      <w:r>
        <w:rPr>
          <w:rStyle w:val="normaltextrun"/>
          <w:i/>
          <w:iCs/>
          <w:color w:val="000000"/>
          <w:sz w:val="20"/>
          <w:szCs w:val="20"/>
        </w:rPr>
        <w:t xml:space="preserve"> and RAG Evaluation</w:t>
      </w:r>
      <w:r>
        <w:rPr>
          <w:rStyle w:val="eop"/>
          <w:color w:val="000000"/>
          <w:sz w:val="20"/>
          <w:szCs w:val="20"/>
          <w:bdr w:val="none" w:sz="0" w:space="0" w:color="auto" w:frame="1"/>
          <w:shd w:val="clear" w:color="auto" w:fill="C6C6C6"/>
        </w:rPr>
        <w:t> </w:t>
      </w:r>
    </w:p>
    <w:p w14:paraId="2D0FA66F" w14:textId="77777777" w:rsidR="00A64E84" w:rsidRDefault="00A64E84" w:rsidP="00A64E84">
      <w:pPr>
        <w:pStyle w:val="paragraph"/>
        <w:spacing w:before="0" w:beforeAutospacing="0" w:after="0" w:afterAutospacing="0"/>
        <w:jc w:val="both"/>
        <w:textAlignment w:val="baseline"/>
        <w:rPr>
          <w:rFonts w:ascii="Segoe UI" w:hAnsi="Segoe UI" w:cs="Segoe UI"/>
          <w:sz w:val="18"/>
          <w:szCs w:val="18"/>
        </w:rPr>
      </w:pPr>
      <w:proofErr w:type="spellStart"/>
      <w:r>
        <w:rPr>
          <w:rStyle w:val="normaltextrun"/>
          <w:color w:val="000000"/>
          <w:sz w:val="20"/>
          <w:szCs w:val="20"/>
        </w:rPr>
        <w:t>Unanswerability</w:t>
      </w:r>
      <w:proofErr w:type="spellEnd"/>
      <w:r>
        <w:rPr>
          <w:rStyle w:val="normaltextrun"/>
          <w:color w:val="000000"/>
          <w:sz w:val="20"/>
          <w:szCs w:val="20"/>
        </w:rPr>
        <w:t xml:space="preserve"> is a distinct capability, not merely the absence of answer correctness. </w:t>
      </w:r>
      <w:proofErr w:type="spellStart"/>
      <w:r>
        <w:rPr>
          <w:rStyle w:val="normaltextrun"/>
          <w:color w:val="000000"/>
          <w:sz w:val="20"/>
          <w:szCs w:val="20"/>
        </w:rPr>
        <w:t>SQuAD</w:t>
      </w:r>
      <w:proofErr w:type="spellEnd"/>
      <w:r>
        <w:rPr>
          <w:rStyle w:val="normaltextrun"/>
          <w:color w:val="000000"/>
          <w:sz w:val="20"/>
          <w:szCs w:val="20"/>
        </w:rPr>
        <w:t xml:space="preserve"> 2.0 formalized the requirement that a system both answer supported questions and recognize cases for which the supplied passage does not contain an answer [15]. Regulatory QA requires a related but domain-specific treatment: a question may fall outside the corpus, omit a necessary condition, concern a provision outside the defined scope, or lack support in the in-force materials. </w:t>
      </w:r>
      <w:proofErr w:type="spellStart"/>
      <w:r>
        <w:rPr>
          <w:rStyle w:val="normaltextrun"/>
          <w:color w:val="000000"/>
          <w:sz w:val="20"/>
          <w:szCs w:val="20"/>
        </w:rPr>
        <w:t>RegRAG</w:t>
      </w:r>
      <w:proofErr w:type="spellEnd"/>
      <w:r>
        <w:rPr>
          <w:rStyle w:val="normaltextrun"/>
          <w:color w:val="000000"/>
          <w:sz w:val="20"/>
          <w:szCs w:val="20"/>
        </w:rPr>
        <w:t>-VN will include such cases and will evaluate abstention separately from correctness on answerable questions, thereby discouraging systems from converting missing evidence into plausible legal statements.</w:t>
      </w:r>
      <w:r>
        <w:rPr>
          <w:rStyle w:val="eop"/>
          <w:color w:val="000000"/>
          <w:sz w:val="20"/>
          <w:szCs w:val="20"/>
          <w:bdr w:val="none" w:sz="0" w:space="0" w:color="auto" w:frame="1"/>
          <w:shd w:val="clear" w:color="auto" w:fill="C6C6C6"/>
        </w:rPr>
        <w:t> </w:t>
      </w:r>
    </w:p>
    <w:p w14:paraId="4C70BA6E" w14:textId="77777777" w:rsidR="00A64E84" w:rsidRDefault="00A64E84" w:rsidP="00A64E84">
      <w:pPr>
        <w:pStyle w:val="paragraph"/>
        <w:spacing w:before="0" w:beforeAutospacing="0" w:after="0" w:afterAutospacing="0"/>
        <w:ind w:firstLine="240"/>
        <w:jc w:val="both"/>
        <w:textAlignment w:val="baseline"/>
        <w:rPr>
          <w:rFonts w:ascii="Segoe UI" w:hAnsi="Segoe UI" w:cs="Segoe UI"/>
          <w:sz w:val="18"/>
          <w:szCs w:val="18"/>
        </w:rPr>
      </w:pPr>
      <w:r>
        <w:rPr>
          <w:rStyle w:val="normaltextrun"/>
          <w:color w:val="000000"/>
          <w:sz w:val="20"/>
          <w:szCs w:val="20"/>
        </w:rPr>
        <w:t xml:space="preserve">RAGAs further </w:t>
      </w:r>
      <w:proofErr w:type="gramStart"/>
      <w:r>
        <w:rPr>
          <w:rStyle w:val="normaltextrun"/>
          <w:color w:val="000000"/>
          <w:sz w:val="20"/>
          <w:szCs w:val="20"/>
        </w:rPr>
        <w:t>motivates</w:t>
      </w:r>
      <w:proofErr w:type="gramEnd"/>
      <w:r>
        <w:rPr>
          <w:rStyle w:val="normaltextrun"/>
          <w:color w:val="000000"/>
          <w:sz w:val="20"/>
          <w:szCs w:val="20"/>
        </w:rPr>
        <w:t xml:space="preserve"> decomposed RAG evaluation through diagnostics such as faithfulness, answer relevance, and context relevance [16]. These dimensions are useful for analyzing pipeline behavior, but automatic or reference-light judgments cannot by themselves verify an exact article or clause, determine whether a citation supports a particular legal claim, or resolve temporal validity. The proposed study will therefore use automatic RAG diagnostics only as secondary measures. Gold legal citations and human judgments of correctness and support will remain primary, while retrieval metrics will be reported separately from generation, citation, hallucination, and abstention outcomes. Accordingly, </w:t>
      </w:r>
      <w:proofErr w:type="spellStart"/>
      <w:r>
        <w:rPr>
          <w:rStyle w:val="normaltextrun"/>
          <w:color w:val="000000"/>
          <w:sz w:val="20"/>
          <w:szCs w:val="20"/>
        </w:rPr>
        <w:t>RegRAG</w:t>
      </w:r>
      <w:proofErr w:type="spellEnd"/>
      <w:r>
        <w:rPr>
          <w:rStyle w:val="normaltextrun"/>
          <w:color w:val="000000"/>
          <w:sz w:val="20"/>
          <w:szCs w:val="20"/>
        </w:rPr>
        <w:t>-VN will evaluate retrieval, grounded generation, exact legal citation, and abstention under a single controlled protocol.</w:t>
      </w:r>
      <w:r>
        <w:rPr>
          <w:rStyle w:val="eop"/>
          <w:color w:val="000000"/>
          <w:sz w:val="20"/>
          <w:szCs w:val="20"/>
          <w:bdr w:val="none" w:sz="0" w:space="0" w:color="auto" w:frame="1"/>
          <w:shd w:val="clear" w:color="auto" w:fill="C6C6C6"/>
        </w:rPr>
        <w:t> </w:t>
      </w:r>
    </w:p>
    <w:p w14:paraId="1BACDA17" w14:textId="77777777" w:rsidR="00A64E84" w:rsidRDefault="00A64E84" w:rsidP="00A64E84">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III. ANNOTATION RELIABILITY</w:t>
      </w:r>
      <w:r>
        <w:rPr>
          <w:rStyle w:val="eop"/>
          <w:color w:val="000000"/>
          <w:sz w:val="20"/>
          <w:szCs w:val="20"/>
          <w:bdr w:val="none" w:sz="0" w:space="0" w:color="auto" w:frame="1"/>
          <w:shd w:val="clear" w:color="auto" w:fill="C6C6C6"/>
        </w:rPr>
        <w:t> </w:t>
      </w:r>
    </w:p>
    <w:p w14:paraId="51376CCF" w14:textId="77777777" w:rsidR="00A64E84" w:rsidRDefault="00A64E84" w:rsidP="00A64E84">
      <w:pPr>
        <w:pStyle w:val="paragraph"/>
        <w:spacing w:before="0" w:beforeAutospacing="0" w:after="0" w:afterAutospacing="0"/>
        <w:jc w:val="both"/>
        <w:textAlignment w:val="baseline"/>
        <w:rPr>
          <w:rFonts w:ascii="Segoe UI" w:hAnsi="Segoe UI" w:cs="Segoe UI"/>
          <w:sz w:val="18"/>
          <w:szCs w:val="18"/>
        </w:rPr>
      </w:pPr>
      <w:r>
        <w:rPr>
          <w:rStyle w:val="normaltextrun"/>
          <w:color w:val="000000"/>
          <w:sz w:val="20"/>
          <w:szCs w:val="20"/>
        </w:rPr>
        <w:lastRenderedPageBreak/>
        <w:t xml:space="preserve">Two annotators independently assessed answer correctness using a binary rubric (correct = 1; incorrect = 0). The analysis included all 88 paired items, with 65 matched by canonical ID and 23 records lacking IDs matched uniquely through normalized question-and-answer text; no items were excluded. Agreement was quantified using Cohen's kappa [17]. The resulting confusion counts were 23 items judged incorrect by both annotators and 65 judged correct by both, with no discordant ratings. Accordingly, observed agreement was </w:t>
      </w:r>
      <w:r>
        <w:rPr>
          <w:rStyle w:val="normaltextrun"/>
          <w:i/>
          <w:iCs/>
          <w:color w:val="000000"/>
          <w:sz w:val="20"/>
          <w:szCs w:val="20"/>
        </w:rPr>
        <w:t>P</w:t>
      </w:r>
      <w:r>
        <w:rPr>
          <w:rStyle w:val="normaltextrun"/>
          <w:color w:val="000000"/>
          <w:sz w:val="16"/>
          <w:szCs w:val="16"/>
          <w:vertAlign w:val="subscript"/>
        </w:rPr>
        <w:t>o</w:t>
      </w:r>
      <w:r>
        <w:rPr>
          <w:rStyle w:val="normaltextrun"/>
          <w:color w:val="000000"/>
          <w:sz w:val="20"/>
          <w:szCs w:val="20"/>
        </w:rPr>
        <w:t xml:space="preserve">= 1.000, expected chance agreement was </w:t>
      </w:r>
      <w:r>
        <w:rPr>
          <w:rStyle w:val="normaltextrun"/>
          <w:i/>
          <w:iCs/>
          <w:color w:val="000000"/>
          <w:sz w:val="20"/>
          <w:szCs w:val="20"/>
        </w:rPr>
        <w:t>P</w:t>
      </w:r>
      <w:r>
        <w:rPr>
          <w:rStyle w:val="normaltextrun"/>
          <w:color w:val="000000"/>
          <w:sz w:val="16"/>
          <w:szCs w:val="16"/>
          <w:vertAlign w:val="subscript"/>
        </w:rPr>
        <w:t>e</w:t>
      </w:r>
      <w:r>
        <w:rPr>
          <w:rStyle w:val="normaltextrun"/>
          <w:color w:val="000000"/>
          <w:sz w:val="20"/>
          <w:szCs w:val="20"/>
        </w:rPr>
        <w:t>= 0.6139, and Cohen's kappa was 1.000.</w:t>
      </w:r>
      <w:r>
        <w:rPr>
          <w:rStyle w:val="eop"/>
          <w:color w:val="000000"/>
          <w:sz w:val="20"/>
          <w:szCs w:val="20"/>
          <w:bdr w:val="none" w:sz="0" w:space="0" w:color="auto" w:frame="1"/>
          <w:shd w:val="clear" w:color="auto" w:fill="C6C6C6"/>
        </w:rPr>
        <w:t> </w:t>
      </w:r>
    </w:p>
    <w:p w14:paraId="565633D7" w14:textId="77777777" w:rsidR="00A64E84" w:rsidRDefault="00A64E84" w:rsidP="00A64E84">
      <w:pPr>
        <w:pStyle w:val="paragraph"/>
        <w:spacing w:before="0" w:beforeAutospacing="0" w:after="0" w:afterAutospacing="0"/>
        <w:ind w:firstLine="240"/>
        <w:jc w:val="both"/>
        <w:textAlignment w:val="baseline"/>
        <w:rPr>
          <w:rFonts w:ascii="Segoe UI" w:hAnsi="Segoe UI" w:cs="Segoe UI"/>
          <w:sz w:val="18"/>
          <w:szCs w:val="18"/>
        </w:rPr>
      </w:pPr>
      <w:r>
        <w:rPr>
          <w:rStyle w:val="normaltextrun"/>
          <w:color w:val="000000"/>
          <w:sz w:val="20"/>
          <w:szCs w:val="20"/>
        </w:rPr>
        <w:t xml:space="preserve">Uncertainty was estimated by a paired nonparametric percentile bootstrap with 20,000 resamples and seed 20250819, yielding a 95% confidence interval of [1.000, 1.000]. This degenerate interval reflects the absence of observed disagreements: paired resampling cannot introduce discordance </w:t>
      </w:r>
      <w:proofErr w:type="gramStart"/>
      <w:r>
        <w:rPr>
          <w:rStyle w:val="normaltextrun"/>
          <w:color w:val="000000"/>
          <w:sz w:val="20"/>
          <w:szCs w:val="20"/>
        </w:rPr>
        <w:t>not present</w:t>
      </w:r>
      <w:proofErr w:type="gramEnd"/>
      <w:r>
        <w:rPr>
          <w:rStyle w:val="normaltextrun"/>
          <w:color w:val="000000"/>
          <w:sz w:val="20"/>
          <w:szCs w:val="20"/>
        </w:rPr>
        <w:t xml:space="preserve"> in the original sample. The result therefore indicates perfect agreement on this curated sample. Both annotators used the same internally verified reference materials and clear binary rubric; however, agreement alone does not establish the correctness of every judgment. The result should not be interpreted as a guarantee that the same level of agreement will generalize to other regulatory domains, question types, evidence conditions, annotator pairs, or less curated datasets. Rather, it establishes that, under the documented matching and scoring procedure, the two independent assessments were fully concordant for the evaluated items.</w:t>
      </w:r>
      <w:r>
        <w:rPr>
          <w:rStyle w:val="eop"/>
          <w:color w:val="000000"/>
          <w:sz w:val="20"/>
          <w:szCs w:val="20"/>
          <w:bdr w:val="none" w:sz="0" w:space="0" w:color="auto" w:frame="1"/>
          <w:shd w:val="clear" w:color="auto" w:fill="C6C6C6"/>
        </w:rPr>
        <w:t> </w:t>
      </w:r>
    </w:p>
    <w:p w14:paraId="440F957F" w14:textId="77777777" w:rsidR="00A64E84" w:rsidRDefault="00A64E84" w:rsidP="00A64E84">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REFERENCES</w:t>
      </w:r>
      <w:r>
        <w:rPr>
          <w:rStyle w:val="eop"/>
          <w:color w:val="000000"/>
          <w:sz w:val="20"/>
          <w:szCs w:val="20"/>
          <w:bdr w:val="none" w:sz="0" w:space="0" w:color="auto" w:frame="1"/>
          <w:shd w:val="clear" w:color="auto" w:fill="C6C6C6"/>
        </w:rPr>
        <w:t> </w:t>
      </w:r>
    </w:p>
    <w:p w14:paraId="24E71389"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[1] V. Magesh, F. Surani, M. Dahl, M. </w:t>
      </w:r>
      <w:proofErr w:type="spellStart"/>
      <w:r>
        <w:rPr>
          <w:rStyle w:val="normaltextrun"/>
          <w:color w:val="000000"/>
          <w:sz w:val="20"/>
          <w:szCs w:val="20"/>
        </w:rPr>
        <w:t>Suzgun</w:t>
      </w:r>
      <w:proofErr w:type="spellEnd"/>
      <w:r>
        <w:rPr>
          <w:rStyle w:val="normaltextrun"/>
          <w:color w:val="000000"/>
          <w:sz w:val="20"/>
          <w:szCs w:val="20"/>
        </w:rPr>
        <w:t xml:space="preserve">, C. D. Manning, and D. E. Ho, “Hallucination-Free? Assessing the Reliability of Leading AI Legal Research Tools,” </w:t>
      </w:r>
      <w:proofErr w:type="spellStart"/>
      <w:r>
        <w:rPr>
          <w:rStyle w:val="normaltextrun"/>
          <w:i/>
          <w:iCs/>
          <w:color w:val="000000"/>
          <w:sz w:val="20"/>
          <w:szCs w:val="20"/>
        </w:rPr>
        <w:t>arXiv</w:t>
      </w:r>
      <w:proofErr w:type="spellEnd"/>
      <w:r>
        <w:rPr>
          <w:rStyle w:val="normaltextrun"/>
          <w:i/>
          <w:iCs/>
          <w:color w:val="000000"/>
          <w:sz w:val="20"/>
          <w:szCs w:val="20"/>
        </w:rPr>
        <w:t xml:space="preserve"> preprint arXiv:2405.20362</w:t>
      </w:r>
      <w:r>
        <w:rPr>
          <w:rStyle w:val="normaltextrun"/>
          <w:color w:val="000000"/>
          <w:sz w:val="20"/>
          <w:szCs w:val="20"/>
        </w:rPr>
        <w:t xml:space="preserve">, 2024, </w:t>
      </w:r>
      <w:proofErr w:type="spellStart"/>
      <w:r>
        <w:rPr>
          <w:rStyle w:val="normaltextrun"/>
          <w:color w:val="000000"/>
          <w:sz w:val="20"/>
          <w:szCs w:val="20"/>
        </w:rPr>
        <w:t>doi</w:t>
      </w:r>
      <w:proofErr w:type="spellEnd"/>
      <w:r>
        <w:rPr>
          <w:rStyle w:val="normaltextrun"/>
          <w:color w:val="000000"/>
          <w:sz w:val="20"/>
          <w:szCs w:val="20"/>
        </w:rPr>
        <w:t>: 10.48550/arXiv.2405.20362.</w:t>
      </w:r>
      <w:r>
        <w:rPr>
          <w:rStyle w:val="eop"/>
          <w:color w:val="000000"/>
          <w:sz w:val="20"/>
          <w:szCs w:val="20"/>
          <w:bdr w:val="none" w:sz="0" w:space="0" w:color="auto" w:frame="1"/>
          <w:shd w:val="clear" w:color="auto" w:fill="C6C6C6"/>
        </w:rPr>
        <w:t> </w:t>
      </w:r>
    </w:p>
    <w:p w14:paraId="4FE545E9"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[2] P. Lewis </w:t>
      </w:r>
      <w:r>
        <w:rPr>
          <w:rStyle w:val="normaltextrun"/>
          <w:i/>
          <w:iCs/>
          <w:color w:val="000000"/>
          <w:sz w:val="20"/>
          <w:szCs w:val="20"/>
        </w:rPr>
        <w:t>et al</w:t>
      </w:r>
      <w:r>
        <w:rPr>
          <w:rStyle w:val="normaltextrun"/>
          <w:color w:val="000000"/>
          <w:sz w:val="20"/>
          <w:szCs w:val="20"/>
        </w:rPr>
        <w:t xml:space="preserve">., “Retrieval-Augmented Generation for Knowledge-Intensive NLP Tasks,” in </w:t>
      </w:r>
      <w:r>
        <w:rPr>
          <w:rStyle w:val="normaltextrun"/>
          <w:i/>
          <w:iCs/>
          <w:color w:val="000000"/>
          <w:sz w:val="20"/>
          <w:szCs w:val="20"/>
        </w:rPr>
        <w:t>Advances in Neural Information Processing Systems</w:t>
      </w:r>
      <w:r>
        <w:rPr>
          <w:rStyle w:val="normaltextrun"/>
          <w:color w:val="000000"/>
          <w:sz w:val="20"/>
          <w:szCs w:val="20"/>
        </w:rPr>
        <w:t>, vol. 33, pp. 9459–9474, 2020.</w:t>
      </w:r>
      <w:r>
        <w:rPr>
          <w:rStyle w:val="eop"/>
          <w:color w:val="000000"/>
          <w:sz w:val="20"/>
          <w:szCs w:val="20"/>
          <w:bdr w:val="none" w:sz="0" w:space="0" w:color="auto" w:frame="1"/>
          <w:shd w:val="clear" w:color="auto" w:fill="C6C6C6"/>
        </w:rPr>
        <w:t> </w:t>
      </w:r>
    </w:p>
    <w:p w14:paraId="29B7DF00"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[3] T. Gao, H. Yen, J. Yu, and D. Chen, “Enabling Large Language Models to Generate Text with Citations,” in </w:t>
      </w:r>
      <w:r>
        <w:rPr>
          <w:rStyle w:val="normaltextrun"/>
          <w:i/>
          <w:iCs/>
          <w:color w:val="000000"/>
          <w:sz w:val="20"/>
          <w:szCs w:val="20"/>
        </w:rPr>
        <w:t>Proc. 2023 Conf. Empirical Methods in Natural Language Processing (EMNLP)</w:t>
      </w:r>
      <w:r>
        <w:rPr>
          <w:rStyle w:val="normaltextrun"/>
          <w:color w:val="000000"/>
          <w:sz w:val="20"/>
          <w:szCs w:val="20"/>
        </w:rPr>
        <w:t xml:space="preserve">, Singapore, 2023, pp. 6465–6488, </w:t>
      </w:r>
      <w:proofErr w:type="spellStart"/>
      <w:r>
        <w:rPr>
          <w:rStyle w:val="normaltextrun"/>
          <w:color w:val="000000"/>
          <w:sz w:val="20"/>
          <w:szCs w:val="20"/>
        </w:rPr>
        <w:t>doi</w:t>
      </w:r>
      <w:proofErr w:type="spellEnd"/>
      <w:r>
        <w:rPr>
          <w:rStyle w:val="normaltextrun"/>
          <w:color w:val="000000"/>
          <w:sz w:val="20"/>
          <w:szCs w:val="20"/>
        </w:rPr>
        <w:t>: 10.18653/v1/2023.emnlp-main.398.</w:t>
      </w:r>
      <w:r>
        <w:rPr>
          <w:rStyle w:val="eop"/>
          <w:color w:val="000000"/>
          <w:sz w:val="20"/>
          <w:szCs w:val="20"/>
          <w:bdr w:val="none" w:sz="0" w:space="0" w:color="auto" w:frame="1"/>
          <w:shd w:val="clear" w:color="auto" w:fill="C6C6C6"/>
        </w:rPr>
        <w:t> </w:t>
      </w:r>
    </w:p>
    <w:p w14:paraId="0DF2D74C"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[4] Qwen Team, “Qwen2.5 Technical Report,” </w:t>
      </w:r>
      <w:proofErr w:type="spellStart"/>
      <w:r>
        <w:rPr>
          <w:rStyle w:val="normaltextrun"/>
          <w:i/>
          <w:iCs/>
          <w:color w:val="000000"/>
          <w:sz w:val="20"/>
          <w:szCs w:val="20"/>
        </w:rPr>
        <w:t>arXiv</w:t>
      </w:r>
      <w:proofErr w:type="spellEnd"/>
      <w:r>
        <w:rPr>
          <w:rStyle w:val="normaltextrun"/>
          <w:i/>
          <w:iCs/>
          <w:color w:val="000000"/>
          <w:sz w:val="20"/>
          <w:szCs w:val="20"/>
        </w:rPr>
        <w:t xml:space="preserve"> preprint arXiv:2412.15115</w:t>
      </w:r>
      <w:r>
        <w:rPr>
          <w:rStyle w:val="normaltextrun"/>
          <w:color w:val="000000"/>
          <w:sz w:val="20"/>
          <w:szCs w:val="20"/>
        </w:rPr>
        <w:t xml:space="preserve">, ver. 2, 2025, </w:t>
      </w:r>
      <w:proofErr w:type="spellStart"/>
      <w:r>
        <w:rPr>
          <w:rStyle w:val="normaltextrun"/>
          <w:color w:val="000000"/>
          <w:sz w:val="20"/>
          <w:szCs w:val="20"/>
        </w:rPr>
        <w:t>doi</w:t>
      </w:r>
      <w:proofErr w:type="spellEnd"/>
      <w:r>
        <w:rPr>
          <w:rStyle w:val="normaltextrun"/>
          <w:color w:val="000000"/>
          <w:sz w:val="20"/>
          <w:szCs w:val="20"/>
        </w:rPr>
        <w:t>: 10.48550/arXiv.2412.15115.</w:t>
      </w:r>
      <w:r>
        <w:rPr>
          <w:rStyle w:val="eop"/>
          <w:color w:val="000000"/>
          <w:sz w:val="20"/>
          <w:szCs w:val="20"/>
          <w:bdr w:val="none" w:sz="0" w:space="0" w:color="auto" w:frame="1"/>
          <w:shd w:val="clear" w:color="auto" w:fill="C6C6C6"/>
        </w:rPr>
        <w:t> </w:t>
      </w:r>
    </w:p>
    <w:p w14:paraId="383A3F59"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[5] T.-M. Nguyen, H.-T. Nguyen, T.-K. Dao, X.-H. Phan, H.-T. Nguyen, and T.-H.-Y. Vuong, “VLQA: The First Comprehensive, Large, and High-Quality Vietnamese Dataset for Legal Question Answering,” </w:t>
      </w:r>
      <w:proofErr w:type="spellStart"/>
      <w:r>
        <w:rPr>
          <w:rStyle w:val="normaltextrun"/>
          <w:i/>
          <w:iCs/>
          <w:color w:val="000000"/>
          <w:sz w:val="20"/>
          <w:szCs w:val="20"/>
        </w:rPr>
        <w:t>arXiv</w:t>
      </w:r>
      <w:proofErr w:type="spellEnd"/>
      <w:r>
        <w:rPr>
          <w:rStyle w:val="normaltextrun"/>
          <w:i/>
          <w:iCs/>
          <w:color w:val="000000"/>
          <w:sz w:val="20"/>
          <w:szCs w:val="20"/>
        </w:rPr>
        <w:t xml:space="preserve"> preprint arXiv:2507.19995</w:t>
      </w:r>
      <w:r>
        <w:rPr>
          <w:rStyle w:val="normaltextrun"/>
          <w:color w:val="000000"/>
          <w:sz w:val="20"/>
          <w:szCs w:val="20"/>
        </w:rPr>
        <w:t xml:space="preserve">, 2025, </w:t>
      </w:r>
      <w:proofErr w:type="spellStart"/>
      <w:r>
        <w:rPr>
          <w:rStyle w:val="normaltextrun"/>
          <w:color w:val="000000"/>
          <w:sz w:val="20"/>
          <w:szCs w:val="20"/>
        </w:rPr>
        <w:t>doi</w:t>
      </w:r>
      <w:proofErr w:type="spellEnd"/>
      <w:r>
        <w:rPr>
          <w:rStyle w:val="normaltextrun"/>
          <w:color w:val="000000"/>
          <w:sz w:val="20"/>
          <w:szCs w:val="20"/>
        </w:rPr>
        <w:t>: 10.48550/arXiv.2507.19995.</w:t>
      </w:r>
      <w:r>
        <w:rPr>
          <w:rStyle w:val="eop"/>
          <w:color w:val="000000"/>
          <w:sz w:val="20"/>
          <w:szCs w:val="20"/>
          <w:bdr w:val="none" w:sz="0" w:space="0" w:color="auto" w:frame="1"/>
          <w:shd w:val="clear" w:color="auto" w:fill="C6C6C6"/>
        </w:rPr>
        <w:t> </w:t>
      </w:r>
    </w:p>
    <w:p w14:paraId="2D9D10C6"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[6] N. T. Dong </w:t>
      </w:r>
      <w:r>
        <w:rPr>
          <w:rStyle w:val="normaltextrun"/>
          <w:i/>
          <w:iCs/>
          <w:color w:val="000000"/>
          <w:sz w:val="20"/>
          <w:szCs w:val="20"/>
        </w:rPr>
        <w:t>et al</w:t>
      </w:r>
      <w:r>
        <w:rPr>
          <w:rStyle w:val="normaltextrun"/>
          <w:color w:val="000000"/>
          <w:sz w:val="20"/>
          <w:szCs w:val="20"/>
        </w:rPr>
        <w:t>., “</w:t>
      </w:r>
      <w:proofErr w:type="spellStart"/>
      <w:r>
        <w:rPr>
          <w:rStyle w:val="normaltextrun"/>
          <w:color w:val="000000"/>
          <w:sz w:val="20"/>
          <w:szCs w:val="20"/>
        </w:rPr>
        <w:t>VLegal</w:t>
      </w:r>
      <w:proofErr w:type="spellEnd"/>
      <w:r>
        <w:rPr>
          <w:rStyle w:val="normaltextrun"/>
          <w:color w:val="000000"/>
          <w:sz w:val="20"/>
          <w:szCs w:val="20"/>
        </w:rPr>
        <w:t xml:space="preserve">-Bench: Cognitively Grounded Benchmark for Vietnamese Legal Reasoning of Large Language Models,” </w:t>
      </w:r>
      <w:proofErr w:type="spellStart"/>
      <w:r>
        <w:rPr>
          <w:rStyle w:val="normaltextrun"/>
          <w:i/>
          <w:iCs/>
          <w:color w:val="000000"/>
          <w:sz w:val="20"/>
          <w:szCs w:val="20"/>
        </w:rPr>
        <w:t>arXiv</w:t>
      </w:r>
      <w:proofErr w:type="spellEnd"/>
      <w:r>
        <w:rPr>
          <w:rStyle w:val="normaltextrun"/>
          <w:i/>
          <w:iCs/>
          <w:color w:val="000000"/>
          <w:sz w:val="20"/>
          <w:szCs w:val="20"/>
        </w:rPr>
        <w:t xml:space="preserve"> preprint arXiv:2512.14554</w:t>
      </w:r>
      <w:r>
        <w:rPr>
          <w:rStyle w:val="normaltextrun"/>
          <w:color w:val="000000"/>
          <w:sz w:val="20"/>
          <w:szCs w:val="20"/>
        </w:rPr>
        <w:t xml:space="preserve">, ver. 5, 2026, </w:t>
      </w:r>
      <w:proofErr w:type="spellStart"/>
      <w:r>
        <w:rPr>
          <w:rStyle w:val="normaltextrun"/>
          <w:color w:val="000000"/>
          <w:sz w:val="20"/>
          <w:szCs w:val="20"/>
        </w:rPr>
        <w:t>doi</w:t>
      </w:r>
      <w:proofErr w:type="spellEnd"/>
      <w:r>
        <w:rPr>
          <w:rStyle w:val="normaltextrun"/>
          <w:color w:val="000000"/>
          <w:sz w:val="20"/>
          <w:szCs w:val="20"/>
        </w:rPr>
        <w:t>: 10.48550/arXiv.2512.14554.</w:t>
      </w:r>
      <w:r>
        <w:rPr>
          <w:rStyle w:val="eop"/>
          <w:color w:val="000000"/>
          <w:sz w:val="20"/>
          <w:szCs w:val="20"/>
          <w:bdr w:val="none" w:sz="0" w:space="0" w:color="auto" w:frame="1"/>
          <w:shd w:val="clear" w:color="auto" w:fill="C6C6C6"/>
        </w:rPr>
        <w:t> </w:t>
      </w:r>
    </w:p>
    <w:p w14:paraId="7D9954CB"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[7] L. S. T. Nguyen </w:t>
      </w:r>
      <w:r>
        <w:rPr>
          <w:rStyle w:val="normaltextrun"/>
          <w:i/>
          <w:iCs/>
          <w:color w:val="000000"/>
          <w:sz w:val="20"/>
          <w:szCs w:val="20"/>
        </w:rPr>
        <w:t>et al</w:t>
      </w:r>
      <w:r>
        <w:rPr>
          <w:rStyle w:val="normaltextrun"/>
          <w:color w:val="000000"/>
          <w:sz w:val="20"/>
          <w:szCs w:val="20"/>
        </w:rPr>
        <w:t xml:space="preserve">., “Can Small Language Models Handle Vietnamese Legal Reasoning? Insights from Multi-Task Evaluation,” in </w:t>
      </w:r>
      <w:r>
        <w:rPr>
          <w:rStyle w:val="normaltextrun"/>
          <w:i/>
          <w:iCs/>
          <w:color w:val="000000"/>
          <w:sz w:val="20"/>
          <w:szCs w:val="20"/>
        </w:rPr>
        <w:t>Proc. 11th Int. Workshop Vietnamese Language and Speech Processing</w:t>
      </w:r>
      <w:r>
        <w:rPr>
          <w:rStyle w:val="normaltextrun"/>
          <w:color w:val="000000"/>
          <w:sz w:val="20"/>
          <w:szCs w:val="20"/>
        </w:rPr>
        <w:t>, Hanoi, Vietnam, 2025, pp. 165–178.</w:t>
      </w:r>
      <w:r>
        <w:rPr>
          <w:rStyle w:val="eop"/>
          <w:color w:val="000000"/>
          <w:sz w:val="20"/>
          <w:szCs w:val="20"/>
          <w:bdr w:val="none" w:sz="0" w:space="0" w:color="auto" w:frame="1"/>
          <w:shd w:val="clear" w:color="auto" w:fill="C6C6C6"/>
        </w:rPr>
        <w:t> </w:t>
      </w:r>
    </w:p>
    <w:p w14:paraId="7E56D9EA"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[8] T.-P. Nguyen, Q.-N. Nguyen, and M.-T. Nguyen, “</w:t>
      </w:r>
      <w:proofErr w:type="spellStart"/>
      <w:r>
        <w:rPr>
          <w:rStyle w:val="normaltextrun"/>
          <w:color w:val="000000"/>
          <w:sz w:val="20"/>
          <w:szCs w:val="20"/>
        </w:rPr>
        <w:t>ViLegalLM</w:t>
      </w:r>
      <w:proofErr w:type="spellEnd"/>
      <w:r>
        <w:rPr>
          <w:rStyle w:val="normaltextrun"/>
          <w:color w:val="000000"/>
          <w:sz w:val="20"/>
          <w:szCs w:val="20"/>
        </w:rPr>
        <w:t xml:space="preserve">: Language Models for Vietnamese Legal Text,” in </w:t>
      </w:r>
      <w:r>
        <w:rPr>
          <w:rStyle w:val="normaltextrun"/>
          <w:i/>
          <w:iCs/>
          <w:color w:val="000000"/>
          <w:sz w:val="20"/>
          <w:szCs w:val="20"/>
        </w:rPr>
        <w:t xml:space="preserve">Findings Assoc. </w:t>
      </w:r>
      <w:proofErr w:type="spellStart"/>
      <w:r>
        <w:rPr>
          <w:rStyle w:val="normaltextrun"/>
          <w:i/>
          <w:iCs/>
          <w:color w:val="000000"/>
          <w:sz w:val="20"/>
          <w:szCs w:val="20"/>
        </w:rPr>
        <w:t>Comput</w:t>
      </w:r>
      <w:proofErr w:type="spellEnd"/>
      <w:r>
        <w:rPr>
          <w:rStyle w:val="normaltextrun"/>
          <w:i/>
          <w:iCs/>
          <w:color w:val="000000"/>
          <w:sz w:val="20"/>
          <w:szCs w:val="20"/>
        </w:rPr>
        <w:t>. Linguistics: ACL 2026</w:t>
      </w:r>
      <w:r>
        <w:rPr>
          <w:rStyle w:val="normaltextrun"/>
          <w:color w:val="000000"/>
          <w:sz w:val="20"/>
          <w:szCs w:val="20"/>
        </w:rPr>
        <w:t xml:space="preserve">, San Diego, CA, USA, 2026, pp. 36136–36150, </w:t>
      </w:r>
      <w:proofErr w:type="spellStart"/>
      <w:r>
        <w:rPr>
          <w:rStyle w:val="normaltextrun"/>
          <w:color w:val="000000"/>
          <w:sz w:val="20"/>
          <w:szCs w:val="20"/>
        </w:rPr>
        <w:t>doi</w:t>
      </w:r>
      <w:proofErr w:type="spellEnd"/>
      <w:r>
        <w:rPr>
          <w:rStyle w:val="normaltextrun"/>
          <w:color w:val="000000"/>
          <w:sz w:val="20"/>
          <w:szCs w:val="20"/>
        </w:rPr>
        <w:t>: 10.18653/v1/2026.findings-acl.1801.</w:t>
      </w:r>
      <w:r>
        <w:rPr>
          <w:rStyle w:val="eop"/>
          <w:color w:val="000000"/>
          <w:sz w:val="20"/>
          <w:szCs w:val="20"/>
          <w:bdr w:val="none" w:sz="0" w:space="0" w:color="auto" w:frame="1"/>
          <w:shd w:val="clear" w:color="auto" w:fill="C6C6C6"/>
        </w:rPr>
        <w:t> </w:t>
      </w:r>
    </w:p>
    <w:p w14:paraId="64F2F50B"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[9] T. Nguyen Ba, V. Doan The, T. Pham Quang, and T. Tran Van, “Vietnamese Legal Information Retrieval in Question-Answering System,” </w:t>
      </w:r>
      <w:proofErr w:type="spellStart"/>
      <w:r>
        <w:rPr>
          <w:rStyle w:val="normaltextrun"/>
          <w:i/>
          <w:iCs/>
          <w:color w:val="000000"/>
          <w:sz w:val="20"/>
          <w:szCs w:val="20"/>
        </w:rPr>
        <w:t>arXiv</w:t>
      </w:r>
      <w:proofErr w:type="spellEnd"/>
      <w:r>
        <w:rPr>
          <w:rStyle w:val="normaltextrun"/>
          <w:i/>
          <w:iCs/>
          <w:color w:val="000000"/>
          <w:sz w:val="20"/>
          <w:szCs w:val="20"/>
        </w:rPr>
        <w:t xml:space="preserve"> preprint arXiv:2409.13699</w:t>
      </w:r>
      <w:r>
        <w:rPr>
          <w:rStyle w:val="normaltextrun"/>
          <w:color w:val="000000"/>
          <w:sz w:val="20"/>
          <w:szCs w:val="20"/>
        </w:rPr>
        <w:t xml:space="preserve">, 2024, </w:t>
      </w:r>
      <w:proofErr w:type="spellStart"/>
      <w:r>
        <w:rPr>
          <w:rStyle w:val="normaltextrun"/>
          <w:color w:val="000000"/>
          <w:sz w:val="20"/>
          <w:szCs w:val="20"/>
        </w:rPr>
        <w:t>doi</w:t>
      </w:r>
      <w:proofErr w:type="spellEnd"/>
      <w:r>
        <w:rPr>
          <w:rStyle w:val="normaltextrun"/>
          <w:color w:val="000000"/>
          <w:sz w:val="20"/>
          <w:szCs w:val="20"/>
        </w:rPr>
        <w:t>: 10.48550/arXiv.2409.13699.</w:t>
      </w:r>
      <w:r>
        <w:rPr>
          <w:rStyle w:val="eop"/>
          <w:color w:val="000000"/>
          <w:sz w:val="20"/>
          <w:szCs w:val="20"/>
          <w:bdr w:val="none" w:sz="0" w:space="0" w:color="auto" w:frame="1"/>
          <w:shd w:val="clear" w:color="auto" w:fill="C6C6C6"/>
        </w:rPr>
        <w:t> </w:t>
      </w:r>
    </w:p>
    <w:p w14:paraId="57AF9DC2"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[10] N. Pipitone and G. </w:t>
      </w:r>
      <w:proofErr w:type="spellStart"/>
      <w:r>
        <w:rPr>
          <w:rStyle w:val="normaltextrun"/>
          <w:color w:val="000000"/>
          <w:sz w:val="20"/>
          <w:szCs w:val="20"/>
        </w:rPr>
        <w:t>Houir</w:t>
      </w:r>
      <w:proofErr w:type="spellEnd"/>
      <w:r>
        <w:rPr>
          <w:rStyle w:val="normaltextrun"/>
          <w:color w:val="000000"/>
          <w:sz w:val="20"/>
          <w:szCs w:val="20"/>
        </w:rPr>
        <w:t xml:space="preserve"> Alami, “</w:t>
      </w:r>
      <w:proofErr w:type="spellStart"/>
      <w:r>
        <w:rPr>
          <w:rStyle w:val="normaltextrun"/>
          <w:color w:val="000000"/>
          <w:sz w:val="20"/>
          <w:szCs w:val="20"/>
        </w:rPr>
        <w:t>LegalBench</w:t>
      </w:r>
      <w:proofErr w:type="spellEnd"/>
      <w:r>
        <w:rPr>
          <w:rStyle w:val="normaltextrun"/>
          <w:color w:val="000000"/>
          <w:sz w:val="20"/>
          <w:szCs w:val="20"/>
        </w:rPr>
        <w:t xml:space="preserve">-RAG: A Benchmark for Retrieval-Augmented Generation in the Legal Domain,” </w:t>
      </w:r>
      <w:proofErr w:type="spellStart"/>
      <w:r>
        <w:rPr>
          <w:rStyle w:val="normaltextrun"/>
          <w:i/>
          <w:iCs/>
          <w:color w:val="000000"/>
          <w:sz w:val="20"/>
          <w:szCs w:val="20"/>
        </w:rPr>
        <w:t>arXiv</w:t>
      </w:r>
      <w:proofErr w:type="spellEnd"/>
      <w:r>
        <w:rPr>
          <w:rStyle w:val="normaltextrun"/>
          <w:i/>
          <w:iCs/>
          <w:color w:val="000000"/>
          <w:sz w:val="20"/>
          <w:szCs w:val="20"/>
        </w:rPr>
        <w:t xml:space="preserve"> preprint arXiv:2408.10343</w:t>
      </w:r>
      <w:r>
        <w:rPr>
          <w:rStyle w:val="normaltextrun"/>
          <w:color w:val="000000"/>
          <w:sz w:val="20"/>
          <w:szCs w:val="20"/>
        </w:rPr>
        <w:t xml:space="preserve">, 2024, </w:t>
      </w:r>
      <w:proofErr w:type="spellStart"/>
      <w:r>
        <w:rPr>
          <w:rStyle w:val="normaltextrun"/>
          <w:color w:val="000000"/>
          <w:sz w:val="20"/>
          <w:szCs w:val="20"/>
        </w:rPr>
        <w:t>doi</w:t>
      </w:r>
      <w:proofErr w:type="spellEnd"/>
      <w:r>
        <w:rPr>
          <w:rStyle w:val="normaltextrun"/>
          <w:color w:val="000000"/>
          <w:sz w:val="20"/>
          <w:szCs w:val="20"/>
        </w:rPr>
        <w:t>: 10.48550/arXiv.2408.10343.</w:t>
      </w:r>
      <w:r>
        <w:rPr>
          <w:rStyle w:val="eop"/>
          <w:color w:val="000000"/>
          <w:sz w:val="20"/>
          <w:szCs w:val="20"/>
          <w:bdr w:val="none" w:sz="0" w:space="0" w:color="auto" w:frame="1"/>
          <w:shd w:val="clear" w:color="auto" w:fill="C6C6C6"/>
        </w:rPr>
        <w:t> </w:t>
      </w:r>
    </w:p>
    <w:p w14:paraId="0743F17F"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[11] A.-R. Butler and U. Butler, “Legal RAG Bench: an end-to-end benchmark for legal RAG,” </w:t>
      </w:r>
      <w:proofErr w:type="spellStart"/>
      <w:r>
        <w:rPr>
          <w:rStyle w:val="normaltextrun"/>
          <w:i/>
          <w:iCs/>
          <w:color w:val="000000"/>
          <w:sz w:val="20"/>
          <w:szCs w:val="20"/>
        </w:rPr>
        <w:t>arXiv</w:t>
      </w:r>
      <w:proofErr w:type="spellEnd"/>
      <w:r>
        <w:rPr>
          <w:rStyle w:val="normaltextrun"/>
          <w:i/>
          <w:iCs/>
          <w:color w:val="000000"/>
          <w:sz w:val="20"/>
          <w:szCs w:val="20"/>
        </w:rPr>
        <w:t xml:space="preserve"> preprint arXiv:2603.01710</w:t>
      </w:r>
      <w:r>
        <w:rPr>
          <w:rStyle w:val="normaltextrun"/>
          <w:color w:val="000000"/>
          <w:sz w:val="20"/>
          <w:szCs w:val="20"/>
        </w:rPr>
        <w:t xml:space="preserve">, 2026, </w:t>
      </w:r>
      <w:proofErr w:type="spellStart"/>
      <w:r>
        <w:rPr>
          <w:rStyle w:val="normaltextrun"/>
          <w:color w:val="000000"/>
          <w:sz w:val="20"/>
          <w:szCs w:val="20"/>
        </w:rPr>
        <w:t>doi</w:t>
      </w:r>
      <w:proofErr w:type="spellEnd"/>
      <w:r>
        <w:rPr>
          <w:rStyle w:val="normaltextrun"/>
          <w:color w:val="000000"/>
          <w:sz w:val="20"/>
          <w:szCs w:val="20"/>
        </w:rPr>
        <w:t>: 10.48550/arXiv.2603.01710.</w:t>
      </w:r>
      <w:r>
        <w:rPr>
          <w:rStyle w:val="eop"/>
          <w:color w:val="000000"/>
          <w:sz w:val="20"/>
          <w:szCs w:val="20"/>
          <w:bdr w:val="none" w:sz="0" w:space="0" w:color="auto" w:frame="1"/>
          <w:shd w:val="clear" w:color="auto" w:fill="C6C6C6"/>
        </w:rPr>
        <w:t> </w:t>
      </w:r>
    </w:p>
    <w:p w14:paraId="54945CB1"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[12] N. Thakur, N. Reimers, A. </w:t>
      </w:r>
      <w:proofErr w:type="spellStart"/>
      <w:r>
        <w:rPr>
          <w:rStyle w:val="normaltextrun"/>
          <w:color w:val="000000"/>
          <w:sz w:val="20"/>
          <w:szCs w:val="20"/>
        </w:rPr>
        <w:t>Rücklé</w:t>
      </w:r>
      <w:proofErr w:type="spellEnd"/>
      <w:r>
        <w:rPr>
          <w:rStyle w:val="normaltextrun"/>
          <w:color w:val="000000"/>
          <w:sz w:val="20"/>
          <w:szCs w:val="20"/>
        </w:rPr>
        <w:t xml:space="preserve">, A. Srivastava, and I. Gurevych, “BEIR: A Heterogenous Benchmark for Zero-shot Evaluation of Information Retrieval Models,” in </w:t>
      </w:r>
      <w:r>
        <w:rPr>
          <w:rStyle w:val="normaltextrun"/>
          <w:i/>
          <w:iCs/>
          <w:color w:val="000000"/>
          <w:sz w:val="20"/>
          <w:szCs w:val="20"/>
        </w:rPr>
        <w:t>Advances in Neural Information Processing Systems</w:t>
      </w:r>
      <w:r>
        <w:rPr>
          <w:rStyle w:val="normaltextrun"/>
          <w:color w:val="000000"/>
          <w:sz w:val="20"/>
          <w:szCs w:val="20"/>
        </w:rPr>
        <w:t>, vol. 34, pp. 29922–29943, 2021.</w:t>
      </w:r>
      <w:r>
        <w:rPr>
          <w:rStyle w:val="eop"/>
          <w:color w:val="000000"/>
          <w:sz w:val="20"/>
          <w:szCs w:val="20"/>
          <w:bdr w:val="none" w:sz="0" w:space="0" w:color="auto" w:frame="1"/>
          <w:shd w:val="clear" w:color="auto" w:fill="C6C6C6"/>
        </w:rPr>
        <w:t> </w:t>
      </w:r>
    </w:p>
    <w:p w14:paraId="5AB4DE0C"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[13] L. Wang, N. Yang, X. Huang, L. Yang, R. Majumder, and F. Wei, “Multilingual E5 Text Embeddings: A Technical Report,” </w:t>
      </w:r>
      <w:proofErr w:type="spellStart"/>
      <w:r>
        <w:rPr>
          <w:rStyle w:val="normaltextrun"/>
          <w:i/>
          <w:iCs/>
          <w:color w:val="000000"/>
          <w:sz w:val="20"/>
          <w:szCs w:val="20"/>
        </w:rPr>
        <w:t>arXiv</w:t>
      </w:r>
      <w:proofErr w:type="spellEnd"/>
      <w:r>
        <w:rPr>
          <w:rStyle w:val="normaltextrun"/>
          <w:i/>
          <w:iCs/>
          <w:color w:val="000000"/>
          <w:sz w:val="20"/>
          <w:szCs w:val="20"/>
        </w:rPr>
        <w:t xml:space="preserve"> preprint arXiv:2402.05672</w:t>
      </w:r>
      <w:r>
        <w:rPr>
          <w:rStyle w:val="normaltextrun"/>
          <w:color w:val="000000"/>
          <w:sz w:val="20"/>
          <w:szCs w:val="20"/>
        </w:rPr>
        <w:t xml:space="preserve">, 2024, </w:t>
      </w:r>
      <w:proofErr w:type="spellStart"/>
      <w:r>
        <w:rPr>
          <w:rStyle w:val="normaltextrun"/>
          <w:color w:val="000000"/>
          <w:sz w:val="20"/>
          <w:szCs w:val="20"/>
        </w:rPr>
        <w:t>doi</w:t>
      </w:r>
      <w:proofErr w:type="spellEnd"/>
      <w:r>
        <w:rPr>
          <w:rStyle w:val="normaltextrun"/>
          <w:color w:val="000000"/>
          <w:sz w:val="20"/>
          <w:szCs w:val="20"/>
        </w:rPr>
        <w:t>: 10.48550/arXiv.2402.05672.</w:t>
      </w:r>
      <w:r>
        <w:rPr>
          <w:rStyle w:val="eop"/>
          <w:color w:val="000000"/>
          <w:sz w:val="20"/>
          <w:szCs w:val="20"/>
          <w:bdr w:val="none" w:sz="0" w:space="0" w:color="auto" w:frame="1"/>
          <w:shd w:val="clear" w:color="auto" w:fill="C6C6C6"/>
        </w:rPr>
        <w:t> </w:t>
      </w:r>
    </w:p>
    <w:p w14:paraId="67B753D7"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[14] N. F. Liu </w:t>
      </w:r>
      <w:r>
        <w:rPr>
          <w:rStyle w:val="normaltextrun"/>
          <w:i/>
          <w:iCs/>
          <w:color w:val="000000"/>
          <w:sz w:val="20"/>
          <w:szCs w:val="20"/>
        </w:rPr>
        <w:t>et al</w:t>
      </w:r>
      <w:r>
        <w:rPr>
          <w:rStyle w:val="normaltextrun"/>
          <w:color w:val="000000"/>
          <w:sz w:val="20"/>
          <w:szCs w:val="20"/>
        </w:rPr>
        <w:t xml:space="preserve">., “Lost in the Middle: How Language Models Use Long Contexts,” </w:t>
      </w:r>
      <w:r>
        <w:rPr>
          <w:rStyle w:val="normaltextrun"/>
          <w:i/>
          <w:iCs/>
          <w:color w:val="000000"/>
          <w:sz w:val="20"/>
          <w:szCs w:val="20"/>
        </w:rPr>
        <w:t xml:space="preserve">Trans. Assoc. </w:t>
      </w:r>
      <w:proofErr w:type="spellStart"/>
      <w:r>
        <w:rPr>
          <w:rStyle w:val="normaltextrun"/>
          <w:i/>
          <w:iCs/>
          <w:color w:val="000000"/>
          <w:sz w:val="20"/>
          <w:szCs w:val="20"/>
        </w:rPr>
        <w:t>Comput</w:t>
      </w:r>
      <w:proofErr w:type="spellEnd"/>
      <w:r>
        <w:rPr>
          <w:rStyle w:val="normaltextrun"/>
          <w:i/>
          <w:iCs/>
          <w:color w:val="000000"/>
          <w:sz w:val="20"/>
          <w:szCs w:val="20"/>
        </w:rPr>
        <w:t>. Linguistics</w:t>
      </w:r>
      <w:r>
        <w:rPr>
          <w:rStyle w:val="normaltextrun"/>
          <w:color w:val="000000"/>
          <w:sz w:val="20"/>
          <w:szCs w:val="20"/>
        </w:rPr>
        <w:t xml:space="preserve">, vol. 12, pp. 157–173, 2024, </w:t>
      </w:r>
      <w:proofErr w:type="spellStart"/>
      <w:r>
        <w:rPr>
          <w:rStyle w:val="normaltextrun"/>
          <w:color w:val="000000"/>
          <w:sz w:val="20"/>
          <w:szCs w:val="20"/>
        </w:rPr>
        <w:t>doi</w:t>
      </w:r>
      <w:proofErr w:type="spellEnd"/>
      <w:r>
        <w:rPr>
          <w:rStyle w:val="normaltextrun"/>
          <w:color w:val="000000"/>
          <w:sz w:val="20"/>
          <w:szCs w:val="20"/>
        </w:rPr>
        <w:t>: 10.1162/tacl_a_00638.</w:t>
      </w:r>
      <w:r>
        <w:rPr>
          <w:rStyle w:val="eop"/>
          <w:color w:val="000000"/>
          <w:sz w:val="20"/>
          <w:szCs w:val="20"/>
        </w:rPr>
        <w:t> </w:t>
      </w:r>
    </w:p>
    <w:p w14:paraId="7F184501"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[15] P. </w:t>
      </w:r>
      <w:proofErr w:type="spellStart"/>
      <w:r>
        <w:rPr>
          <w:rStyle w:val="normaltextrun"/>
          <w:color w:val="000000"/>
          <w:sz w:val="20"/>
          <w:szCs w:val="20"/>
        </w:rPr>
        <w:t>Rajpurkar</w:t>
      </w:r>
      <w:proofErr w:type="spellEnd"/>
      <w:r>
        <w:rPr>
          <w:rStyle w:val="normaltextrun"/>
          <w:color w:val="000000"/>
          <w:sz w:val="20"/>
          <w:szCs w:val="20"/>
        </w:rPr>
        <w:t xml:space="preserve">, R. Jia, and P. Liang, “Know What You Don’t Know: Unanswerable Questions for </w:t>
      </w:r>
      <w:proofErr w:type="spellStart"/>
      <w:r>
        <w:rPr>
          <w:rStyle w:val="normaltextrun"/>
          <w:color w:val="000000"/>
          <w:sz w:val="20"/>
          <w:szCs w:val="20"/>
        </w:rPr>
        <w:t>SQuAD</w:t>
      </w:r>
      <w:proofErr w:type="spellEnd"/>
      <w:r>
        <w:rPr>
          <w:rStyle w:val="normaltextrun"/>
          <w:color w:val="000000"/>
          <w:sz w:val="20"/>
          <w:szCs w:val="20"/>
        </w:rPr>
        <w:t xml:space="preserve">,” in </w:t>
      </w:r>
      <w:r>
        <w:rPr>
          <w:rStyle w:val="normaltextrun"/>
          <w:i/>
          <w:iCs/>
          <w:color w:val="000000"/>
          <w:sz w:val="20"/>
          <w:szCs w:val="20"/>
        </w:rPr>
        <w:t xml:space="preserve">Proc. 56th Annu. Meeting Assoc. </w:t>
      </w:r>
      <w:proofErr w:type="spellStart"/>
      <w:r>
        <w:rPr>
          <w:rStyle w:val="normaltextrun"/>
          <w:i/>
          <w:iCs/>
          <w:color w:val="000000"/>
          <w:sz w:val="20"/>
          <w:szCs w:val="20"/>
        </w:rPr>
        <w:t>Comput</w:t>
      </w:r>
      <w:proofErr w:type="spellEnd"/>
      <w:r>
        <w:rPr>
          <w:rStyle w:val="normaltextrun"/>
          <w:i/>
          <w:iCs/>
          <w:color w:val="000000"/>
          <w:sz w:val="20"/>
          <w:szCs w:val="20"/>
        </w:rPr>
        <w:t>. Linguistics (Vol. 2: Short Papers)</w:t>
      </w:r>
      <w:r>
        <w:rPr>
          <w:rStyle w:val="normaltextrun"/>
          <w:color w:val="000000"/>
          <w:sz w:val="20"/>
          <w:szCs w:val="20"/>
        </w:rPr>
        <w:t xml:space="preserve">, Melbourne, Australia, 2018, pp. 784–789, </w:t>
      </w:r>
      <w:proofErr w:type="spellStart"/>
      <w:r>
        <w:rPr>
          <w:rStyle w:val="normaltextrun"/>
          <w:color w:val="000000"/>
          <w:sz w:val="20"/>
          <w:szCs w:val="20"/>
        </w:rPr>
        <w:t>doi</w:t>
      </w:r>
      <w:proofErr w:type="spellEnd"/>
      <w:r>
        <w:rPr>
          <w:rStyle w:val="normaltextrun"/>
          <w:color w:val="000000"/>
          <w:sz w:val="20"/>
          <w:szCs w:val="20"/>
        </w:rPr>
        <w:t>: 10.18653/v1/P18-2124.</w:t>
      </w:r>
      <w:r>
        <w:rPr>
          <w:rStyle w:val="eop"/>
          <w:color w:val="000000"/>
          <w:sz w:val="20"/>
          <w:szCs w:val="20"/>
          <w:bdr w:val="none" w:sz="0" w:space="0" w:color="auto" w:frame="1"/>
          <w:shd w:val="clear" w:color="auto" w:fill="C6C6C6"/>
        </w:rPr>
        <w:t> </w:t>
      </w:r>
    </w:p>
    <w:p w14:paraId="611C38C3"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t xml:space="preserve">[16] S. Es, J. James, L. Espinosa Anke, and S. Schockaert, “RAGAs: Automated Evaluation of Retrieval Augmented Generation,” in </w:t>
      </w:r>
      <w:r>
        <w:rPr>
          <w:rStyle w:val="normaltextrun"/>
          <w:i/>
          <w:iCs/>
          <w:color w:val="000000"/>
          <w:sz w:val="20"/>
          <w:szCs w:val="20"/>
        </w:rPr>
        <w:t xml:space="preserve">Proc. 18th Conf. Eur. Chapter Assoc. </w:t>
      </w:r>
      <w:proofErr w:type="spellStart"/>
      <w:r>
        <w:rPr>
          <w:rStyle w:val="normaltextrun"/>
          <w:i/>
          <w:iCs/>
          <w:color w:val="000000"/>
          <w:sz w:val="20"/>
          <w:szCs w:val="20"/>
        </w:rPr>
        <w:t>Comput</w:t>
      </w:r>
      <w:proofErr w:type="spellEnd"/>
      <w:r>
        <w:rPr>
          <w:rStyle w:val="normaltextrun"/>
          <w:i/>
          <w:iCs/>
          <w:color w:val="000000"/>
          <w:sz w:val="20"/>
          <w:szCs w:val="20"/>
        </w:rPr>
        <w:t>. Linguistics: System Demonstrations</w:t>
      </w:r>
      <w:r>
        <w:rPr>
          <w:rStyle w:val="normaltextrun"/>
          <w:color w:val="000000"/>
          <w:sz w:val="20"/>
          <w:szCs w:val="20"/>
        </w:rPr>
        <w:t xml:space="preserve">, St. Julians, Malta, 2024, pp. 150–158, </w:t>
      </w:r>
      <w:proofErr w:type="spellStart"/>
      <w:r>
        <w:rPr>
          <w:rStyle w:val="normaltextrun"/>
          <w:color w:val="000000"/>
          <w:sz w:val="20"/>
          <w:szCs w:val="20"/>
        </w:rPr>
        <w:t>doi</w:t>
      </w:r>
      <w:proofErr w:type="spellEnd"/>
      <w:r>
        <w:rPr>
          <w:rStyle w:val="normaltextrun"/>
          <w:color w:val="000000"/>
          <w:sz w:val="20"/>
          <w:szCs w:val="20"/>
        </w:rPr>
        <w:t>: 10.18653/v1/2024.eacl-demo.16.</w:t>
      </w:r>
      <w:r>
        <w:rPr>
          <w:rStyle w:val="eop"/>
          <w:color w:val="000000"/>
          <w:sz w:val="20"/>
          <w:szCs w:val="20"/>
          <w:bdr w:val="none" w:sz="0" w:space="0" w:color="auto" w:frame="1"/>
          <w:shd w:val="clear" w:color="auto" w:fill="C6C6C6"/>
        </w:rPr>
        <w:t> </w:t>
      </w:r>
    </w:p>
    <w:p w14:paraId="12BA855B" w14:textId="77777777" w:rsidR="00A64E84" w:rsidRDefault="00A64E84" w:rsidP="00A64E84">
      <w:pPr>
        <w:pStyle w:val="paragraph"/>
        <w:spacing w:before="0" w:beforeAutospacing="0" w:after="0" w:afterAutospacing="0"/>
        <w:ind w:left="240" w:hanging="240"/>
        <w:jc w:val="both"/>
        <w:textAlignment w:val="baseline"/>
        <w:rPr>
          <w:rFonts w:ascii="Segoe UI" w:hAnsi="Segoe UI" w:cs="Segoe UI"/>
          <w:sz w:val="18"/>
          <w:szCs w:val="18"/>
        </w:rPr>
      </w:pPr>
      <w:r>
        <w:rPr>
          <w:rStyle w:val="normaltextrun"/>
          <w:color w:val="000000"/>
          <w:sz w:val="20"/>
          <w:szCs w:val="20"/>
        </w:rPr>
        <w:lastRenderedPageBreak/>
        <w:t xml:space="preserve">[17] J. Cohen, “A Coefficient of Agreement for Nominal Scales,” </w:t>
      </w:r>
      <w:r>
        <w:rPr>
          <w:rStyle w:val="normaltextrun"/>
          <w:i/>
          <w:iCs/>
          <w:color w:val="000000"/>
          <w:sz w:val="20"/>
          <w:szCs w:val="20"/>
        </w:rPr>
        <w:t>Educational and Psychological Measurement</w:t>
      </w:r>
      <w:r>
        <w:rPr>
          <w:rStyle w:val="normaltextrun"/>
          <w:color w:val="000000"/>
          <w:sz w:val="20"/>
          <w:szCs w:val="20"/>
        </w:rPr>
        <w:t xml:space="preserve">, vol. 20, no. 1, pp. 37–46, 1960, </w:t>
      </w:r>
      <w:proofErr w:type="spellStart"/>
      <w:r>
        <w:rPr>
          <w:rStyle w:val="normaltextrun"/>
          <w:color w:val="000000"/>
          <w:sz w:val="20"/>
          <w:szCs w:val="20"/>
        </w:rPr>
        <w:t>doi</w:t>
      </w:r>
      <w:proofErr w:type="spellEnd"/>
      <w:r>
        <w:rPr>
          <w:rStyle w:val="normaltextrun"/>
          <w:color w:val="000000"/>
          <w:sz w:val="20"/>
          <w:szCs w:val="20"/>
        </w:rPr>
        <w:t>: 10.1177/001316446002000104.</w:t>
      </w:r>
      <w:r>
        <w:rPr>
          <w:rStyle w:val="eop"/>
          <w:color w:val="000000"/>
          <w:sz w:val="20"/>
          <w:szCs w:val="20"/>
          <w:bdr w:val="none" w:sz="0" w:space="0" w:color="auto" w:frame="1"/>
          <w:shd w:val="clear" w:color="auto" w:fill="C6C6C6"/>
        </w:rPr>
        <w:t> </w:t>
      </w:r>
    </w:p>
    <w:p w14:paraId="31D7FFE3" w14:textId="77777777" w:rsidR="00FA570F" w:rsidRDefault="00FA570F"/>
    <w:sectPr w:rsidR="00FA5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996"/>
    <w:rsid w:val="0005796F"/>
    <w:rsid w:val="007F4996"/>
    <w:rsid w:val="00A64E84"/>
    <w:rsid w:val="00B33E18"/>
    <w:rsid w:val="00FA5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F1C530-5B10-4D75-84C0-77064FD6E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996"/>
    <w:rPr>
      <w:rFonts w:eastAsiaTheme="majorEastAsia" w:cstheme="majorBidi"/>
      <w:color w:val="272727" w:themeColor="text1" w:themeTint="D8"/>
    </w:rPr>
  </w:style>
  <w:style w:type="paragraph" w:styleId="Title">
    <w:name w:val="Title"/>
    <w:basedOn w:val="Normal"/>
    <w:next w:val="Normal"/>
    <w:link w:val="TitleChar"/>
    <w:uiPriority w:val="10"/>
    <w:qFormat/>
    <w:rsid w:val="007F4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996"/>
    <w:pPr>
      <w:spacing w:before="160"/>
      <w:jc w:val="center"/>
    </w:pPr>
    <w:rPr>
      <w:i/>
      <w:iCs/>
      <w:color w:val="404040" w:themeColor="text1" w:themeTint="BF"/>
    </w:rPr>
  </w:style>
  <w:style w:type="character" w:customStyle="1" w:styleId="QuoteChar">
    <w:name w:val="Quote Char"/>
    <w:basedOn w:val="DefaultParagraphFont"/>
    <w:link w:val="Quote"/>
    <w:uiPriority w:val="29"/>
    <w:rsid w:val="007F4996"/>
    <w:rPr>
      <w:i/>
      <w:iCs/>
      <w:color w:val="404040" w:themeColor="text1" w:themeTint="BF"/>
    </w:rPr>
  </w:style>
  <w:style w:type="paragraph" w:styleId="ListParagraph">
    <w:name w:val="List Paragraph"/>
    <w:basedOn w:val="Normal"/>
    <w:uiPriority w:val="34"/>
    <w:qFormat/>
    <w:rsid w:val="007F4996"/>
    <w:pPr>
      <w:ind w:left="720"/>
      <w:contextualSpacing/>
    </w:pPr>
  </w:style>
  <w:style w:type="character" w:styleId="IntenseEmphasis">
    <w:name w:val="Intense Emphasis"/>
    <w:basedOn w:val="DefaultParagraphFont"/>
    <w:uiPriority w:val="21"/>
    <w:qFormat/>
    <w:rsid w:val="007F4996"/>
    <w:rPr>
      <w:i/>
      <w:iCs/>
      <w:color w:val="0F4761" w:themeColor="accent1" w:themeShade="BF"/>
    </w:rPr>
  </w:style>
  <w:style w:type="paragraph" w:styleId="IntenseQuote">
    <w:name w:val="Intense Quote"/>
    <w:basedOn w:val="Normal"/>
    <w:next w:val="Normal"/>
    <w:link w:val="IntenseQuoteChar"/>
    <w:uiPriority w:val="30"/>
    <w:qFormat/>
    <w:rsid w:val="007F4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996"/>
    <w:rPr>
      <w:i/>
      <w:iCs/>
      <w:color w:val="0F4761" w:themeColor="accent1" w:themeShade="BF"/>
    </w:rPr>
  </w:style>
  <w:style w:type="character" w:styleId="IntenseReference">
    <w:name w:val="Intense Reference"/>
    <w:basedOn w:val="DefaultParagraphFont"/>
    <w:uiPriority w:val="32"/>
    <w:qFormat/>
    <w:rsid w:val="007F4996"/>
    <w:rPr>
      <w:b/>
      <w:bCs/>
      <w:smallCaps/>
      <w:color w:val="0F4761" w:themeColor="accent1" w:themeShade="BF"/>
      <w:spacing w:val="5"/>
    </w:rPr>
  </w:style>
  <w:style w:type="paragraph" w:customStyle="1" w:styleId="paragraph">
    <w:name w:val="paragraph"/>
    <w:basedOn w:val="Normal"/>
    <w:rsid w:val="00A64E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A64E84"/>
  </w:style>
  <w:style w:type="character" w:customStyle="1" w:styleId="eop">
    <w:name w:val="eop"/>
    <w:basedOn w:val="DefaultParagraphFont"/>
    <w:rsid w:val="00A64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2476</Words>
  <Characters>14116</Characters>
  <Application>Microsoft Office Word</Application>
  <DocSecurity>0</DocSecurity>
  <Lines>117</Lines>
  <Paragraphs>33</Paragraphs>
  <ScaleCrop>false</ScaleCrop>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Lan-Hương Đinh</dc:creator>
  <cp:keywords/>
  <dc:description/>
  <cp:lastModifiedBy>Lan-Hương Đinh</cp:lastModifiedBy>
  <cp:revision>3</cp:revision>
  <dcterms:created xsi:type="dcterms:W3CDTF">2026-09-14T10:52:00Z</dcterms:created>
  <dcterms:modified xsi:type="dcterms:W3CDTF">2026-09-14T10:56:00Z</dcterms:modified>
</cp:coreProperties>
</file>