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32"/>
          <w:szCs w:val="32"/>
        </w:rPr>
        <w:t xml:space="preserve">Плановий паспорт книжки</w:t>
      </w:r>
    </w:p>
    <w:p>
      <w:pPr>
        <w:spacing w:after="40"/>
      </w:pPr>
      <w:r>
        <w:rPr>
          <w:b/>
          <w:bCs/>
          <w:sz w:val="26"/>
          <w:szCs w:val="26"/>
        </w:rPr>
        <w:t xml:space="preserve">Методика розрахунку податків</w:t>
      </w:r>
    </w:p>
    <w:p>
      <w:pPr>
        <w:pBdr>
          <w:bottom w:val="single" w:color="2F5496" w:sz="6" w:space="6"/>
        </w:pBdr>
        <w:spacing w:after="200"/>
      </w:pPr>
      <w:r>
        <w:rPr>
          <w:i/>
          <w:iCs/>
          <w:color w:val="808080"/>
          <w:sz w:val="20"/>
          <w:szCs w:val="20"/>
        </w:rPr>
        <w:t xml:space="preserve">Документ для перевірки фінансовим відділом · чернетка логіки</w:t>
      </w:r>
    </w:p>
    <w:p>
      <w:pPr>
        <w:pStyle w:val="Heading1"/>
        <w:spacing w:after="100" w:before="240"/>
      </w:pPr>
      <w:r>
        <w:t xml:space="preserve">1. Призначення документа</w:t>
      </w:r>
    </w:p>
    <w:p>
      <w:pPr>
        <w:spacing w:after="120" w:line="276"/>
      </w:pPr>
      <w:r>
        <w:rPr>
          <w:sz w:val="21"/>
          <w:szCs w:val="21"/>
        </w:rPr>
        <w:t xml:space="preserve">Ми будуємо інструмент планового паспорту книжки — він оцінює собівартість і РРЦ ще до запуску проєкту у виробництво. Частина розрахунку — нарахування податків на гонорари виконавців. Цей документ описує логіку цих нарахувань і просить фінансовий відділ підтвердити коректність ставок, бази та формул.</w:t>
      </w:r>
    </w:p>
    <w:p>
      <w:pPr>
        <w:spacing w:after="120" w:line="276"/>
      </w:pPr>
      <w:r>
        <w:rPr>
          <w:sz w:val="21"/>
          <w:szCs w:val="21"/>
        </w:rPr>
        <w:t xml:space="preserve">Після ваших правок ця логіка закладається у розрахунковий застосунок. Зараз важливо звірити саме </w:t>
      </w:r>
      <w:r>
        <w:rPr>
          <w:b/>
          <w:bCs/>
          <w:sz w:val="21"/>
          <w:szCs w:val="21"/>
        </w:rPr>
        <w:t xml:space="preserve">механіку податків</w:t>
      </w:r>
      <w:r>
        <w:rPr>
          <w:sz w:val="21"/>
          <w:szCs w:val="21"/>
        </w:rPr>
        <w:t xml:space="preserve"> — решта параметрів (тарифи, ціни друку, формати) наповнюються окремо і на податкову частину не впливають.</w:t>
      </w:r>
    </w:p>
    <w:p>
      <w:pPr>
        <w:pStyle w:val="Heading1"/>
        <w:spacing w:after="100" w:before="240"/>
      </w:pPr>
      <w:r>
        <w:t xml:space="preserve">2. Базові принципи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Тариф виконавця кодується «чистими» — це сума </w:t>
      </w:r>
      <w:r>
        <w:rPr>
          <w:b/>
          <w:bCs/>
          <w:sz w:val="21"/>
          <w:szCs w:val="21"/>
        </w:rPr>
        <w:t xml:space="preserve">на руки</w:t>
      </w:r>
      <w:r>
        <w:rPr>
          <w:sz w:val="21"/>
          <w:szCs w:val="21"/>
        </w:rPr>
        <w:t xml:space="preserve"> виконавцю після всіх утримань.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Податки нараховуються </w:t>
      </w:r>
      <w:r>
        <w:rPr>
          <w:b/>
          <w:bCs/>
          <w:sz w:val="21"/>
          <w:szCs w:val="21"/>
        </w:rPr>
        <w:t xml:space="preserve">згори</w:t>
      </w:r>
      <w:r>
        <w:rPr>
          <w:sz w:val="21"/>
          <w:szCs w:val="21"/>
        </w:rPr>
        <w:t xml:space="preserve">: у собівартість книжки лягає сума з податками, а не «чистий» тариф.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Два типи договорів: </w:t>
      </w:r>
      <w:r>
        <w:rPr>
          <w:b/>
          <w:bCs/>
          <w:sz w:val="21"/>
          <w:szCs w:val="21"/>
        </w:rPr>
        <w:t xml:space="preserve">АЛД</w:t>
      </w:r>
      <w:r>
        <w:rPr>
          <w:sz w:val="21"/>
          <w:szCs w:val="21"/>
        </w:rPr>
        <w:t xml:space="preserve"> (авторсько-ліцензійний — без ЄСВ) та </w:t>
      </w:r>
      <w:r>
        <w:rPr>
          <w:b/>
          <w:bCs/>
          <w:sz w:val="21"/>
          <w:szCs w:val="21"/>
        </w:rPr>
        <w:t xml:space="preserve">ДП</w:t>
      </w:r>
      <w:r>
        <w:rPr>
          <w:sz w:val="21"/>
          <w:szCs w:val="21"/>
        </w:rPr>
        <w:t xml:space="preserve"> (договір підряду — з ЄСВ).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Ставки, закладені в модель: </w:t>
      </w:r>
      <w:r>
        <w:rPr>
          <w:b/>
          <w:bCs/>
          <w:sz w:val="21"/>
          <w:szCs w:val="21"/>
        </w:rPr>
        <w:t xml:space="preserve">ПДФО 18%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військовий збір 5%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ЄСВ 22%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00" w:before="240"/>
      </w:pPr>
      <w:r>
        <w:t xml:space="preserve">3. Механіка нарахування («gross-up»)</w:t>
      </w:r>
    </w:p>
    <w:p>
      <w:pPr>
        <w:spacing w:after="120" w:line="276"/>
      </w:pPr>
      <w:r>
        <w:rPr>
          <w:sz w:val="21"/>
          <w:szCs w:val="21"/>
        </w:rPr>
        <w:t xml:space="preserve">Оскільки тариф — це сума на руки, тіло нарахування рахуємо зворотно, щоб після утримання ПДФО і ВЗ виконавцю лишився рівно тариф:</w:t>
      </w:r>
    </w:p>
    <w:p>
      <w:pPr>
        <w:shd w:fill="F2F2F2" w:color="auto" w:val="clear"/>
        <w:spacing w:after="140" w:before="60"/>
        <w:jc w:val="center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Тіло нарахування = «чистими» ÷ (1 − 0,18 − 0,05) = «чистими» ÷ 0,77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ПДФО 18%</w:t>
      </w:r>
      <w:r>
        <w:rPr>
          <w:sz w:val="21"/>
          <w:szCs w:val="21"/>
        </w:rPr>
        <w:t xml:space="preserve"> і </w:t>
      </w:r>
      <w:r>
        <w:rPr>
          <w:b/>
          <w:bCs/>
          <w:sz w:val="21"/>
          <w:szCs w:val="21"/>
        </w:rPr>
        <w:t xml:space="preserve">ВЗ 5%</w:t>
      </w:r>
      <w:r>
        <w:rPr>
          <w:sz w:val="21"/>
          <w:szCs w:val="21"/>
        </w:rPr>
        <w:t xml:space="preserve"> утримуються з тіла нарахування (сидять усередині нього).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ЄСВ 22%</w:t>
      </w:r>
      <w:r>
        <w:rPr>
          <w:sz w:val="21"/>
          <w:szCs w:val="21"/>
        </w:rPr>
        <w:t xml:space="preserve"> нараховується </w:t>
      </w:r>
      <w:r>
        <w:rPr>
          <w:b/>
          <w:bCs/>
          <w:sz w:val="21"/>
          <w:szCs w:val="21"/>
        </w:rPr>
        <w:t xml:space="preserve">на тіло</w:t>
      </w:r>
      <w:r>
        <w:rPr>
          <w:sz w:val="21"/>
          <w:szCs w:val="21"/>
        </w:rPr>
        <w:t xml:space="preserve">, згори — окремим рядком. Тільки для ДП.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Для АЛД сума з податками = тіло нарахування (ЄСВ немає).</w:t>
      </w:r>
    </w:p>
    <w:p>
      <w:pPr>
        <w:pStyle w:val="Heading1"/>
        <w:spacing w:after="100" w:before="240"/>
      </w:pPr>
      <w:r>
        <w:t xml:space="preserve">4. Коефіцієнти для розрахунку (від «чистими»)</w:t>
      </w:r>
    </w:p>
    <w:p>
      <w:pPr>
        <w:spacing w:after="120" w:line="276"/>
      </w:pPr>
      <w:r>
        <w:rPr>
          <w:sz w:val="21"/>
          <w:szCs w:val="21"/>
        </w:rPr>
        <w:t xml:space="preserve">Щоб не рахувати ділення в кожному рядку, використовуємо готові множники від «чистого» тарифу: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200"/>
        <w:gridCol w:w="2600"/>
        <w:gridCol w:w="2226"/>
      </w:tblGrid>
      <w:tr>
        <w:trPr>
          <w:tblHeader/>
        </w:trPr>
        <w:tc>
          <w:tcPr>
            <w:tcW w:type="dxa" w:w="4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Величина</w:t>
            </w:r>
          </w:p>
        </w:tc>
        <w:tc>
          <w:tcPr>
            <w:tcW w:type="dxa" w:w="2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Множник</w:t>
            </w:r>
          </w:p>
        </w:tc>
        <w:tc>
          <w:tcPr>
            <w:tcW w:type="dxa" w:w="22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Застосування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Тіло нарахування (у собівартість)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× 1,2987</w:t>
            </w:r>
          </w:p>
        </w:tc>
        <w:tc>
          <w:tcPr>
            <w:tcW w:type="dxa" w:w="2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усі рядки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ЄСВ 22% (окремий рядок)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× 0,2857</w:t>
            </w:r>
          </w:p>
        </w:tc>
        <w:tc>
          <w:tcPr>
            <w:tcW w:type="dxa" w:w="2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тільки ДП</w:t>
            </w:r>
          </w:p>
        </w:tc>
      </w:tr>
      <w:tr>
        <w:tc>
          <w:tcPr>
            <w:tcW w:type="dxa" w:w="4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Разом рядок ДП (тіло + ЄСВ)</w:t>
            </w:r>
          </w:p>
        </w:tc>
        <w:tc>
          <w:tcPr>
            <w:tcW w:type="dxa" w:w="2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× 1,5844</w:t>
            </w:r>
          </w:p>
        </w:tc>
        <w:tc>
          <w:tcPr>
            <w:tcW w:type="dxa" w:w="222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ДП</w:t>
            </w:r>
          </w:p>
        </w:tc>
      </w:tr>
      <w:tr>
        <w:tc>
          <w:tcPr>
            <w:tcW w:type="dxa" w:w="4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Разом рядок АЛД (= тіло)</w:t>
            </w:r>
          </w:p>
        </w:tc>
        <w:tc>
          <w:tcPr>
            <w:tcW w:type="dxa" w:w="2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× 1,2987</w:t>
            </w:r>
          </w:p>
        </w:tc>
        <w:tc>
          <w:tcPr>
            <w:tcW w:type="dxa" w:w="222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АЛД</w:t>
            </w:r>
          </w:p>
        </w:tc>
      </w:tr>
    </w:tbl>
    <w:p>
      <w:pPr>
        <w:spacing w:after="120" w:line="276"/>
      </w:pPr>
      <w:r>
        <w:rPr>
          <w:i/>
          <w:iCs/>
          <w:color w:val="808080"/>
          <w:sz w:val="19"/>
          <w:szCs w:val="19"/>
        </w:rPr>
        <w:t xml:space="preserve">Похідні: множники дорівнюють 1 ÷ 0,77, 0,22 ÷ 0,77 та 1,22 ÷ 0,77 відповідно.</w:t>
      </w:r>
    </w:p>
    <w:p>
      <w:pPr>
        <w:pStyle w:val="Heading1"/>
        <w:spacing w:after="100" w:before="240"/>
      </w:pPr>
      <w:r>
        <w:t xml:space="preserve">5. Робочий приклад — тариф 45,00 грн «чистими»</w:t>
      </w:r>
    </w:p>
    <w:p>
      <w:pPr>
        <w:spacing w:after="120" w:line="276"/>
      </w:pPr>
      <w:r>
        <w:rPr>
          <w:sz w:val="21"/>
          <w:szCs w:val="21"/>
        </w:rPr>
        <w:t xml:space="preserve">Для звірки — повний розклад на умовному тарифі 45 грн на руки, окремо для АЛД і ДП: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626"/>
        <w:gridCol w:w="2200"/>
        <w:gridCol w:w="2200"/>
      </w:tblGrid>
      <w:tr>
        <w:trPr>
          <w:tblHeader/>
        </w:trPr>
        <w:tc>
          <w:tcPr>
            <w:tcW w:type="dxa" w:w="46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Складова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АЛД, грн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ДП, грн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Тариф — «чистими», на руки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45,00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45,00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Тіло нарахування (÷ 0,77)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58,44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58,44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 у т.ч. ПДФО 18% (з тіла)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10,52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10,52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 у т.ч. ВЗ 5% (з тіла)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2,92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2,92</w:t>
            </w:r>
          </w:p>
        </w:tc>
      </w:tr>
      <w:tr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ЄСВ 22% (згори, окремий рядок)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12,86</w:t>
            </w:r>
          </w:p>
        </w:tc>
      </w:tr>
      <w:tr>
        <w:tc>
          <w:tcPr>
            <w:tcW w:type="dxa" w:w="462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 собівартість (тіло)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58,44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58,44</w:t>
            </w:r>
          </w:p>
        </w:tc>
      </w:tr>
      <w:tr>
        <w:tc>
          <w:tcPr>
            <w:tcW w:type="dxa" w:w="462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РАЗОМ рядок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58,44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71,30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Перевірка «на руки»: </w:t>
      </w:r>
      <w:r>
        <w:rPr>
          <w:sz w:val="21"/>
          <w:szCs w:val="21"/>
        </w:rPr>
        <w:t xml:space="preserve">58,44 − 10,52 (ПДФО) − 2,92 (ВЗ) = 45,00 грн. Виконавець отримує рівно тариф.</w:t>
      </w:r>
    </w:p>
    <w:p>
      <w:pPr>
        <w:pStyle w:val="Heading1"/>
        <w:spacing w:after="100" w:before="240"/>
      </w:pPr>
      <w:r>
        <w:t xml:space="preserve">6. Статті паспорту та тип договору</w:t>
      </w:r>
    </w:p>
    <w:p>
      <w:pPr>
        <w:spacing w:after="120" w:line="276"/>
      </w:pPr>
      <w:r>
        <w:rPr>
          <w:sz w:val="21"/>
          <w:szCs w:val="21"/>
        </w:rPr>
        <w:t xml:space="preserve">Кожна стаття рахується за однаковою механікою (§3), відрізняється лише тип договору — тобто наявність ЄСВ: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500"/>
        <w:gridCol w:w="1400"/>
        <w:gridCol w:w="3826"/>
        <w:gridCol w:w="1300"/>
      </w:tblGrid>
      <w:tr>
        <w:trPr>
          <w:tblHeader/>
        </w:trPr>
        <w:tc>
          <w:tcPr>
            <w:tcW w:type="dxa" w:w="2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Стаття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Договір</w:t>
            </w:r>
          </w:p>
        </w:tc>
        <w:tc>
          <w:tcPr>
            <w:tcW w:type="dxa" w:w="38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База тіла (від «чистими»)</w:t>
            </w:r>
          </w:p>
        </w:tc>
        <w:tc>
          <w:tcPr>
            <w:tcW w:type="dxa" w:w="13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ЄСВ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Аванс за текст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АЛД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введена сума ÷ 0,77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Переклад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АЛД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тариф(зірк.) × знаки/1000 × складн. ÷ 0,77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Редагування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тариф(зірк.) × знаки/1000 × складн. ÷ 0,77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так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Коректура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0,3 × «чистими» редагування ÷ 0,77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так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Обкладинка (дизайн)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константа ÷ 0,77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так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Ефекти обкладинки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константа (за градацією) ÷ 0,77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так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Інші витрати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ДП*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% від бази (див. §7)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вкл.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Друк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без утримань із ЗП; без ПДВ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i/>
          <w:iCs/>
          <w:color w:val="808080"/>
          <w:sz w:val="19"/>
          <w:szCs w:val="19"/>
        </w:rPr>
        <w:t xml:space="preserve">* «Інші витрати» — це форматування, верстка, сканування, дрібні роботи. Задаються одним відсотком, у якому податки вже враховані (§7).</w:t>
      </w:r>
    </w:p>
    <w:p>
      <w:pPr>
        <w:spacing w:after="120" w:line="276"/>
      </w:pPr>
      <w:r>
        <w:rPr>
          <w:sz w:val="21"/>
          <w:szCs w:val="21"/>
        </w:rPr>
        <w:t xml:space="preserve">Примітки: коефіцієнт </w:t>
      </w:r>
      <w:r>
        <w:rPr>
          <w:b/>
          <w:bCs/>
          <w:sz w:val="21"/>
          <w:szCs w:val="21"/>
        </w:rPr>
        <w:t xml:space="preserve">1,2</w:t>
      </w:r>
      <w:r>
        <w:rPr>
          <w:sz w:val="21"/>
          <w:szCs w:val="21"/>
        </w:rPr>
        <w:t xml:space="preserve"> (перекладний текст «розбухає») застосовується до знаків для перекладу, редагування ТА сторінковості. Надбавка складності («простий» +0%, «помірний» +5%, «складний» +10%) лягає на переклад і редагування; коректура як 0,3× редагування наслідує її автоматично.</w:t>
      </w:r>
    </w:p>
    <w:p>
      <w:pPr>
        <w:pStyle w:val="Heading1"/>
        <w:spacing w:after="100" w:before="240"/>
      </w:pPr>
      <w:r>
        <w:t xml:space="preserve">7. «Інші витрати» — окрема логіка</w:t>
      </w:r>
    </w:p>
    <w:p>
      <w:pPr>
        <w:spacing w:after="120" w:line="276"/>
      </w:pPr>
      <w:r>
        <w:rPr>
          <w:sz w:val="21"/>
          <w:szCs w:val="21"/>
        </w:rPr>
        <w:t xml:space="preserve">Задаються одним глобальним відсотком від бази. База — суми РАЗОМ (тіло + ЄСВ) трьох статей:</w:t>
      </w:r>
    </w:p>
    <w:p>
      <w:pPr>
        <w:shd w:fill="F2F2F2" w:color="auto" w:val="clear"/>
        <w:spacing w:after="120" w:before="40"/>
        <w:jc w:val="center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інші = %  ×  (редагування_разом + коректура_разом + обкладинка_разом)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Переклад та аванс у базу </w:t>
      </w:r>
      <w:r>
        <w:rPr>
          <w:b/>
          <w:bCs/>
          <w:sz w:val="21"/>
          <w:szCs w:val="21"/>
        </w:rPr>
        <w:t xml:space="preserve">не входять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Результат — вже </w:t>
      </w:r>
      <w:r>
        <w:rPr>
          <w:b/>
          <w:bCs/>
          <w:sz w:val="21"/>
          <w:szCs w:val="21"/>
        </w:rPr>
        <w:t xml:space="preserve">повна сума з усіма податками</w:t>
      </w:r>
      <w:r>
        <w:rPr>
          <w:sz w:val="21"/>
          <w:szCs w:val="21"/>
        </w:rPr>
        <w:t xml:space="preserve"> (ДП). Окремий рядок ЄСВ на «інші» не додається.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Для показника податкового навантаження (§8) податкову частку «інших» виділяємо назад як із ДП-суми — це ≈ 36,9% від суми «інших».</w:t>
      </w:r>
    </w:p>
    <w:p>
      <w:pPr>
        <w:pStyle w:val="Heading1"/>
        <w:spacing w:after="100" w:before="240"/>
      </w:pPr>
      <w:r>
        <w:t xml:space="preserve">8. Податкове навантаження проєкту</w:t>
      </w:r>
    </w:p>
    <w:p>
      <w:pPr>
        <w:spacing w:after="120" w:line="276"/>
      </w:pPr>
      <w:r>
        <w:rPr>
          <w:sz w:val="21"/>
          <w:szCs w:val="21"/>
        </w:rPr>
        <w:t xml:space="preserve">Чисельник спільний — </w:t>
      </w:r>
      <w:r>
        <w:rPr>
          <w:b/>
          <w:bCs/>
          <w:sz w:val="21"/>
          <w:szCs w:val="21"/>
        </w:rPr>
        <w:t xml:space="preserve">сума всіх податків</w:t>
      </w:r>
      <w:r>
        <w:rPr>
          <w:sz w:val="21"/>
          <w:szCs w:val="21"/>
        </w:rPr>
        <w:t xml:space="preserve"> по проєкту (ПДФО + ВЗ + ЄСВ по всіх рядках, включно з часткою в «інших»). Виводимо три показники з різними знаменниками: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62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Знаменник</w:t>
            </w:r>
          </w:p>
        </w:tc>
      </w:tr>
      <w:t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Навантаження 1</w:t>
            </w:r>
          </w:p>
        </w:tc>
        <w:tc>
          <w:tcPr>
            <w:tcW w:type="dxa" w:w="6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оригінал-макет (сума видавничих статей)</w:t>
            </w:r>
          </w:p>
        </w:tc>
      </w:tr>
      <w:t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Навантаження 2</w:t>
            </w:r>
          </w:p>
        </w:tc>
        <w:tc>
          <w:tcPr>
            <w:tcW w:type="dxa" w:w="6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повна собівартість = оригінал-макет + друк за одиницю × наклад</w:t>
            </w:r>
          </w:p>
        </w:tc>
      </w:tr>
      <w:t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Навантаження 3</w:t>
            </w:r>
          </w:p>
        </w:tc>
        <w:tc>
          <w:tcPr>
            <w:tcW w:type="dxa" w:w="6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РРЦ × наклад (теоретична виручка з тиражу)</w:t>
            </w:r>
          </w:p>
        </w:tc>
      </w:tr>
    </w:tbl>
    <w:p>
      <w:pPr>
        <w:spacing w:after="120" w:line="276"/>
      </w:pPr>
      <w:r>
        <w:rPr>
          <w:sz w:val="20"/>
          <w:szCs w:val="20"/>
        </w:rPr>
        <w:t xml:space="preserve">Для довідки: у кожному ДП-рядку податки становлять ≈ 36,9% суми «разом» (на прикладі 45 грн: 26,30 із 71,30). У АЛД-рядку — 23% (ПДФО + ВЗ).</w:t>
      </w:r>
    </w:p>
    <w:p>
      <w:r>
        <w:br w:type="page"/>
      </w:r>
    </w:p>
    <w:p>
      <w:pPr>
        <w:pStyle w:val="Heading1"/>
        <w:spacing w:after="100" w:before="240"/>
      </w:pPr>
      <w:r>
        <w:t xml:space="preserve">9. Що просимо підтвердити</w:t>
      </w:r>
    </w:p>
    <w:p>
      <w:pPr>
        <w:spacing w:after="120" w:line="276"/>
      </w:pPr>
      <w:r>
        <w:rPr>
          <w:sz w:val="21"/>
          <w:szCs w:val="21"/>
        </w:rPr>
        <w:t xml:space="preserve">Ключові припущення моделі, які потребують перевірки фінансового відділу: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Ставки</w:t>
      </w:r>
      <w:r>
        <w:rPr>
          <w:sz w:val="21"/>
          <w:szCs w:val="21"/>
        </w:rPr>
        <w:t xml:space="preserve">: ЄСВ 22%, ПДФО 18%, ВЗ 5% — актуальні на поточну дату?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«Gross-up» на руки</w:t>
      </w:r>
      <w:r>
        <w:rPr>
          <w:sz w:val="21"/>
          <w:szCs w:val="21"/>
        </w:rPr>
        <w:t xml:space="preserve">: ділення на 0,77 (ПДФО і ВЗ утримуються з тіла) — коректний спосіб забезпечити виконавцю рівно тариф?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База ЄСВ</w:t>
      </w:r>
      <w:r>
        <w:rPr>
          <w:sz w:val="21"/>
          <w:szCs w:val="21"/>
        </w:rPr>
        <w:t xml:space="preserve">: 22% рахуємо від тіла нарахування (58,44), а не від «чистими» (45). Правильно?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Розподіл ЄСВ</w:t>
      </w:r>
      <w:r>
        <w:rPr>
          <w:sz w:val="21"/>
          <w:szCs w:val="21"/>
        </w:rPr>
        <w:t xml:space="preserve">: АЛД — без ЄСВ, ДП — з ЄСВ. Розподіл статей за типами договорів у §6 коректний?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Стеля ЄСВ</w:t>
      </w:r>
      <w:r>
        <w:rPr>
          <w:sz w:val="21"/>
          <w:szCs w:val="21"/>
        </w:rPr>
        <w:t xml:space="preserve">: максимальну базу ЄСВ (15 мінзарплат/міс) у плановому паспорті не застосовуємо. Для планування прийнятно?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Аванс за текст і нерезиденти</w:t>
      </w:r>
      <w:r>
        <w:rPr>
          <w:sz w:val="21"/>
          <w:szCs w:val="21"/>
        </w:rPr>
        <w:t xml:space="preserve">: якщо Правовласник — нерезидент, замість ПДФО/ВЗ може виникати податок на репатріацію доходу (роялті нерезиденту). Як враховувати такі випадки?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Статус виконавців</w:t>
      </w:r>
      <w:r>
        <w:rPr>
          <w:sz w:val="21"/>
          <w:szCs w:val="21"/>
        </w:rPr>
        <w:t xml:space="preserve">: модель припускає, що виконавці — фізособи, а видавництво є податковим агентом. Якщо виконавець — ФОП, утримань і нарахувань немає. Як обробляти?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Друк без ПДВ</w:t>
      </w:r>
      <w:r>
        <w:rPr>
          <w:sz w:val="21"/>
          <w:szCs w:val="21"/>
        </w:rPr>
        <w:t xml:space="preserve">: друк закладаємо без ПДВ (книжкова пільга). Актуально?</w:t>
      </w:r>
    </w:p>
    <w:p>
      <w:pPr>
        <w:spacing w:before="240"/>
      </w:pPr>
      <w:r>
        <w:rPr>
          <w:i/>
          <w:iCs/>
          <w:color w:val="808080"/>
          <w:sz w:val="20"/>
          <w:szCs w:val="20"/>
        </w:rPr>
        <w:t xml:space="preserve">Будь-які правки за пунктами вище закладемо в розрахунок до старту розробки застосунку.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</w:pPr>
    <w:rPr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2026-08-12T10:08:07.929Z</dcterms:created>
  <dcterms:modified xsi:type="dcterms:W3CDTF">2026-08-12T10:08:07.957Z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