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496"/>
          <w:sz w:val="34"/>
          <w:szCs w:val="34"/>
        </w:rPr>
        <w:t xml:space="preserve">Плановий паспорт книжки</w:t>
      </w:r>
    </w:p>
    <w:p>
      <w:pPr>
        <w:spacing w:after="40"/>
      </w:pPr>
      <w:r>
        <w:rPr>
          <w:b/>
          <w:bCs/>
          <w:sz w:val="26"/>
          <w:szCs w:val="26"/>
        </w:rPr>
        <w:t xml:space="preserve">Правила розрахунку · податки · умови</w:t>
      </w:r>
    </w:p>
    <w:p>
      <w:pPr>
        <w:pBdr>
          <w:bottom w:val="single" w:color="2F5496" w:sz="6" w:space="6"/>
        </w:pBdr>
        <w:spacing w:after="200"/>
      </w:pPr>
      <w:r>
        <w:rPr>
          <w:i/>
          <w:iCs/>
          <w:color w:val="808080"/>
          <w:sz w:val="20"/>
          <w:szCs w:val="20"/>
        </w:rPr>
        <w:t xml:space="preserve">Робочий драфт для колективного обговорення · редакція 12.08.2026 · v0.1</w:t>
      </w:r>
    </w:p>
    <w:p>
      <w:pPr>
        <w:spacing w:after="120" w:line="264"/>
      </w:pPr>
      <w:r>
        <w:rPr>
          <w:i/>
          <w:iCs/>
          <w:color w:val="808080"/>
          <w:sz w:val="20"/>
          <w:szCs w:val="20"/>
        </w:rPr>
        <w:t xml:space="preserve">Це чернетка логіки. Читаємо разом, доповнюємо деталями, змінними й умовами. Позначки </w:t>
      </w:r>
      <w:r>
        <w:rPr>
          <w:b/>
          <w:bCs/>
          <w:i/>
          <w:iCs/>
          <w:color w:val="996600"/>
          <w:sz w:val="20"/>
          <w:szCs w:val="20"/>
        </w:rPr>
        <w:t xml:space="preserve">«для обговорення»</w:t>
      </w:r>
      <w:r>
        <w:rPr>
          <w:i/>
          <w:iCs/>
          <w:color w:val="808080"/>
          <w:sz w:val="20"/>
          <w:szCs w:val="20"/>
        </w:rPr>
        <w:t xml:space="preserve"> і відкриті питання (§10) — місця, де потрібне ваше рішення. Після узгодження логіка кодується у веб-застосунок.</w:t>
      </w:r>
    </w:p>
    <w:p>
      <w:pPr>
        <w:pStyle w:val="Heading1"/>
      </w:pPr>
      <w:r>
        <w:t xml:space="preserve">1. Призначення та межі</w:t>
      </w:r>
    </w:p>
    <w:p>
      <w:pPr>
        <w:spacing w:after="120" w:line="276"/>
      </w:pPr>
      <w:r>
        <w:rPr>
          <w:sz w:val="21"/>
          <w:szCs w:val="21"/>
        </w:rPr>
        <w:t xml:space="preserve">Інструмент оцінює </w:t>
      </w:r>
      <w:r>
        <w:rPr>
          <w:b/>
          <w:bCs/>
          <w:sz w:val="21"/>
          <w:szCs w:val="21"/>
        </w:rPr>
        <w:t xml:space="preserve">планову собівартість і рекомендовану роздрібну ціну (РРЦ)</w:t>
      </w:r>
      <w:r>
        <w:rPr>
          <w:sz w:val="21"/>
          <w:szCs w:val="21"/>
        </w:rPr>
        <w:t xml:space="preserve"> книжки ще до запуску проєкту у виробництво — на основі набору драйверів (зірковість, обсяг тексту, складність, формат, обкладинка, ефекти).</w:t>
      </w:r>
    </w:p>
    <w:p>
      <w:pPr>
        <w:spacing w:after="120" w:line="276"/>
      </w:pPr>
      <w:r>
        <w:rPr>
          <w:sz w:val="21"/>
          <w:szCs w:val="21"/>
        </w:rPr>
        <w:t xml:space="preserve">РРЦ формується як </w:t>
      </w:r>
      <w:r>
        <w:rPr>
          <w:b/>
          <w:bCs/>
          <w:sz w:val="21"/>
          <w:szCs w:val="21"/>
        </w:rPr>
        <w:t xml:space="preserve">єдиний коефіцієнт націнки</w:t>
      </w:r>
      <w:r>
        <w:rPr>
          <w:sz w:val="21"/>
          <w:szCs w:val="21"/>
        </w:rPr>
        <w:t xml:space="preserve"> на суму «вартість оригінал-макета (на 1 примірник) + вартість друку 1 примірника».</w:t>
      </w:r>
    </w:p>
    <w:p>
      <w:pPr>
        <w:spacing w:after="60"/>
      </w:pPr>
      <w:r>
        <w:rPr>
          <w:sz w:val="21"/>
          <w:szCs w:val="21"/>
        </w:rPr>
        <w:t xml:space="preserve">Межі поточної версії: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Роялті </w:t>
      </w:r>
      <w:r>
        <w:rPr>
          <w:b/>
          <w:bCs/>
          <w:sz w:val="21"/>
          <w:szCs w:val="21"/>
        </w:rPr>
        <w:t xml:space="preserve">не враховуємо</w:t>
      </w:r>
      <w:r>
        <w:rPr>
          <w:sz w:val="21"/>
          <w:szCs w:val="21"/>
        </w:rPr>
        <w:t xml:space="preserve"> (додамо пізніше).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Жанр як окремий драйвер замінено на </w:t>
      </w:r>
      <w:r>
        <w:rPr>
          <w:b/>
          <w:bCs/>
          <w:sz w:val="21"/>
          <w:szCs w:val="21"/>
        </w:rPr>
        <w:t xml:space="preserve">складність тексту</w:t>
      </w:r>
      <w:r>
        <w:rPr>
          <w:sz w:val="21"/>
          <w:szCs w:val="21"/>
        </w:rPr>
        <w:t xml:space="preserve"> (§3).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Наклад — параметр, що вводиться </w:t>
      </w:r>
      <w:r>
        <w:rPr>
          <w:b/>
          <w:bCs/>
          <w:sz w:val="21"/>
          <w:szCs w:val="21"/>
        </w:rPr>
        <w:t xml:space="preserve">при старті розрахунку</w:t>
      </w:r>
      <w:r>
        <w:rPr>
          <w:sz w:val="21"/>
          <w:szCs w:val="21"/>
        </w:rPr>
        <w:t xml:space="preserve">, не зберігається у профілі книги.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Усі суми рахуємо </w:t>
      </w:r>
      <w:r>
        <w:rPr>
          <w:b/>
          <w:bCs/>
          <w:sz w:val="21"/>
          <w:szCs w:val="21"/>
        </w:rPr>
        <w:t xml:space="preserve">з податками</w:t>
      </w:r>
      <w:r>
        <w:rPr>
          <w:sz w:val="21"/>
          <w:szCs w:val="21"/>
        </w:rPr>
        <w:t xml:space="preserve">; тарифи кодуємо чистими, податки показуємо окремо (§8).</w:t>
      </w:r>
    </w:p>
    <w:p>
      <w:pPr>
        <w:pStyle w:val="Heading1"/>
      </w:pPr>
      <w:r>
        <w:t xml:space="preserve">2. Вхідні параметри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382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Аванс за текст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грн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надбання тексту від Правовласника; вводиться сумою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Кількість знаків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число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обсяг тексту оригіналу (зі знаками)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Зірковість проєкту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рівень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визначає тарифну сітку перекладу й редагування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Перекладний проєкт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так / ні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вмикає статтю «Переклад» і коефіцієнт 1,2 (§3)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Складність тексту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простий / помірний / складний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надбавка на переклад і редагування (§3)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генеральний / збільшений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визначає сторінковість і ціну друку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Обкладинка (дизайн)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грн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гонорар за дизайн; константа / вводиться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Ефекти обкладинки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норма / бонус / преміум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розробка ефектів, зрізи тощо; константа за градацією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% інших витрат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форматування, верстка, сканування, дрібні роботи (§5)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Коефіцієнт націнки k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число (~3,9)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єдиний множник для РРЦ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Наклад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число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вводиться при старті розрахунку</w:t>
            </w:r>
          </w:p>
        </w:tc>
      </w:tr>
    </w:tbl>
    <w:p>
      <w:pPr>
        <w:pStyle w:val="Heading1"/>
      </w:pPr>
      <w:r>
        <w:t xml:space="preserve">3. Коефіцієнти та правила залежностей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Коефіцієнт перекладу 1,2.</w:t>
      </w:r>
      <w:r>
        <w:rPr>
          <w:sz w:val="21"/>
          <w:szCs w:val="21"/>
        </w:rPr>
        <w:t xml:space="preserve"> Перекладений текст «розбухає». Для перекладних книг усі розрахунки, що спираються на обсяг, беруть </w:t>
      </w:r>
      <w:r>
        <w:rPr>
          <w:b/>
          <w:bCs/>
          <w:sz w:val="21"/>
          <w:szCs w:val="21"/>
        </w:rPr>
        <w:t xml:space="preserve">знаки × 1,2</w:t>
      </w:r>
      <w:r>
        <w:rPr>
          <w:sz w:val="21"/>
          <w:szCs w:val="21"/>
        </w:rPr>
        <w:t xml:space="preserve">: переклад, редагування і сторінковість.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знаки_розрах = знаки_оригіналу × (1,2 якщо перекладна, інакше 1,0)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Складність тексту.</w:t>
      </w:r>
      <w:r>
        <w:rPr>
          <w:sz w:val="21"/>
          <w:szCs w:val="21"/>
        </w:rPr>
        <w:t xml:space="preserve"> Надбавка на переклад і редагування: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013"/>
        <w:gridCol w:w="3013"/>
        <w:gridCol w:w="3000"/>
      </w:tblGrid>
      <w:tr>
        <w:trPr>
          <w:tblHeader/>
        </w:trPr>
        <w:tc>
          <w:tcPr>
            <w:tcW w:type="dxa" w:w="3013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Складність</w:t>
            </w:r>
          </w:p>
        </w:tc>
        <w:tc>
          <w:tcPr>
            <w:tcW w:type="dxa" w:w="3013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Надбавка</w:t>
            </w:r>
          </w:p>
        </w:tc>
        <w:tc>
          <w:tcPr>
            <w:tcW w:type="dxa" w:w="3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Множник</w:t>
            </w:r>
          </w:p>
        </w:tc>
      </w:tr>
      <w:tr>
        <w:tc>
          <w:tcPr>
            <w:tcW w:type="dxa" w:w="30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Простий</w:t>
            </w:r>
          </w:p>
        </w:tc>
        <w:tc>
          <w:tcPr>
            <w:tcW w:type="dxa" w:w="30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+0%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1,00</w:t>
            </w:r>
          </w:p>
        </w:tc>
      </w:tr>
      <w:tr>
        <w:tc>
          <w:tcPr>
            <w:tcW w:type="dxa" w:w="30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Помірний</w:t>
            </w:r>
          </w:p>
        </w:tc>
        <w:tc>
          <w:tcPr>
            <w:tcW w:type="dxa" w:w="30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+5%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1,05</w:t>
            </w:r>
          </w:p>
        </w:tc>
      </w:tr>
      <w:tr>
        <w:tc>
          <w:tcPr>
            <w:tcW w:type="dxa" w:w="30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Складний</w:t>
            </w:r>
          </w:p>
        </w:tc>
        <w:tc>
          <w:tcPr>
            <w:tcW w:type="dxa" w:w="30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+10%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1,10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Коректура = 0,3 × редагування.</w:t>
      </w:r>
      <w:r>
        <w:rPr>
          <w:sz w:val="21"/>
          <w:szCs w:val="21"/>
        </w:rPr>
        <w:t xml:space="preserve"> Окрема стаття, рахується як частка від «чистого» редагування — тому надбавку складності наслідує автоматично.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Податки (стисло).</w:t>
      </w:r>
      <w:r>
        <w:rPr>
          <w:sz w:val="21"/>
          <w:szCs w:val="21"/>
        </w:rPr>
        <w:t xml:space="preserve"> Тариф — це сума «на руки». Тіло нарахування = чистими ÷ 0,77; ЄСВ 22% — згори, лише для ДП. Повна механіка — §8 і окремий документ для фінансів.</w:t>
      </w:r>
    </w:p>
    <w:p>
      <w:pPr>
        <w:pStyle w:val="Heading1"/>
      </w:pPr>
      <w:r>
        <w:t xml:space="preserve">4. Порядок розрахунку (повний ланцюг)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1)  знаки_розрах = знаки × (1,2 якщо перекладна)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2)  ЧИСТІ бази (на руки):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      переклад    = тариф_пер(зірк.) × знаки_розрах/1000 × складн   (0, якщо не перекладна)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      редагування = тариф_ред(зірк.) × знаки_розрах/1000 × складн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      коректура   = 0,3 × редагування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      обкладинка  = константа (дизайн)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      ефекти      = константа (за градацією)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      аванс       = введена сума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3)  Нарахування з податками (§8): тіло = чист ÷ 0,77; ЄСВ = тіло × 0,22 (ДП)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4)  інші = %_інші × (редагування_разом + коректура_разом + обкладинка_разом)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5)  ОРИГІНАЛ-МАКЕТ = Σ усіх статей із податками + інші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6)  сторінки = ОКРУГЛ_ВГОРУ(знаки_розрах / знаків_на_стор(формат) → кратно 16)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7)  друк_за_шт = сторінки × ціна_друку_стор(формат, тир_накладу)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8)  РРЦ = округл_до_9( k × (ОРИГІНАЛ-МАКЕТ / наклад + друк_за_шт) )</w:t>
      </w:r>
    </w:p>
    <w:p>
      <w:pPr>
        <w:spacing w:after="120" w:line="264"/>
      </w:pPr>
      <w:r>
        <w:rPr>
          <w:i/>
          <w:iCs/>
          <w:color w:val="808080"/>
          <w:sz w:val="20"/>
          <w:szCs w:val="20"/>
        </w:rPr>
        <w:t xml:space="preserve">Порядок важливий: надбавка складності лягає першою — коректура (0,3×) та інші (%×) наслідують її автоматично. Коефіцієнт 1,2 єдиний — годує і текстові роботи, і сторінковість.</w:t>
      </w:r>
    </w:p>
    <w:p>
      <w:pPr>
        <w:pStyle w:val="Heading1"/>
      </w:pPr>
      <w:r>
        <w:t xml:space="preserve">5. Блок 1 — Оригінал-макет</w:t>
      </w:r>
    </w:p>
    <w:p>
      <w:pPr>
        <w:spacing w:after="120" w:line="276"/>
      </w:pPr>
      <w:r>
        <w:rPr>
          <w:sz w:val="21"/>
          <w:szCs w:val="21"/>
        </w:rPr>
        <w:t xml:space="preserve">Сума видавничих статей на весь проєкт (усі — з податками):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00"/>
        <w:gridCol w:w="1200"/>
        <w:gridCol w:w="3626"/>
        <w:gridCol w:w="2000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Стаття</w:t>
            </w:r>
          </w:p>
        </w:tc>
        <w:tc>
          <w:tcPr>
            <w:tcW w:type="dxa" w:w="1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Договір</w:t>
            </w:r>
          </w:p>
        </w:tc>
        <w:tc>
          <w:tcPr>
            <w:tcW w:type="dxa" w:w="362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Чиста база (на руки)</w:t>
            </w:r>
          </w:p>
        </w:tc>
        <w:tc>
          <w:tcPr>
            <w:tcW w:type="dxa" w:w="2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Примітка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Аванс за текст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АЛД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введена сума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лише за наявності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Переклад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АЛД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тариф(зірк.) × знаки_розрах/1000 × складн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лише перекладні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Редагування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ДП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тариф(зірк.) × знаки_розрах/1000 × складн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завжди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Коректура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ДП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0,3 × редагування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завжди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Обкладинка (дизайн)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ДП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константа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гонорар дизайнеру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Ефекти обкладинки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ДП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константа за градацією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норма/бонус/преміум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Інші витрати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ДП*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% × база (нижче)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податки вже враховані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«Інші витрати».</w:t>
      </w:r>
      <w:r>
        <w:rPr>
          <w:sz w:val="21"/>
          <w:szCs w:val="21"/>
        </w:rPr>
        <w:t xml:space="preserve"> Один глобальний відсоток. База — суми РАЗОМ (тіло + ЄСВ) трьох статей; переклад і аванс у базу </w:t>
      </w:r>
      <w:r>
        <w:rPr>
          <w:b/>
          <w:bCs/>
          <w:sz w:val="21"/>
          <w:szCs w:val="21"/>
        </w:rPr>
        <w:t xml:space="preserve">не входять</w:t>
      </w:r>
      <w:r>
        <w:rPr>
          <w:sz w:val="21"/>
          <w:szCs w:val="21"/>
        </w:rPr>
        <w:t xml:space="preserve">: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інші = %_інші × (редагування_разом + коректура_разом + обкладинка_разом)</w:t>
      </w:r>
    </w:p>
    <w:p>
      <w:pPr>
        <w:spacing w:after="120" w:line="264"/>
      </w:pPr>
      <w:r>
        <w:rPr>
          <w:i/>
          <w:iCs/>
          <w:color w:val="808080"/>
          <w:sz w:val="20"/>
          <w:szCs w:val="20"/>
        </w:rPr>
        <w:t xml:space="preserve">Результат «інших» — вже повна сума з податками (як ДП); окремий рядок ЄСВ на нього не додається.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Ефекти обкладинки — константа на весь тираж</w:t>
      </w:r>
      <w:r>
        <w:rPr>
          <w:sz w:val="21"/>
          <w:szCs w:val="21"/>
        </w:rPr>
        <w:t xml:space="preserve"> (розробка додаткових ефектів, ілюстрування зрізів тощо), відноситься в оригінал-макет, а не в друк. Залежить лише від градації.</w:t>
      </w:r>
    </w:p>
    <w:p>
      <w:pPr>
        <w:pStyle w:val="Heading1"/>
      </w:pPr>
      <w:r>
        <w:t xml:space="preserve">6. Блок 2 — Друк</w:t>
      </w:r>
    </w:p>
    <w:p>
      <w:pPr>
        <w:spacing w:after="120" w:line="276"/>
      </w:pPr>
      <w:r>
        <w:rPr>
          <w:sz w:val="21"/>
          <w:szCs w:val="21"/>
        </w:rPr>
        <w:t xml:space="preserve">Розрахунок за одиницю продукції: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сторінки   = ОКРУГЛ_ВГОРУ(знаки_розрах / знаків_на_стор(формат))  → до кратного 16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друк_за_шт = сторінки × ціна_друку_сторінки(формат, тир_накладу)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Знаків на сторінку — фіксовані числа за форматом (генеральний / збільшений).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Для перекладних сторінковість рахується від знаки × 1,2.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Округлення сторінок — до кратного 16 (зошит).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Ціна друку 1 сторінки залежить від формату </w:t>
      </w:r>
      <w:r>
        <w:rPr>
          <w:b/>
          <w:bCs/>
          <w:sz w:val="21"/>
          <w:szCs w:val="21"/>
        </w:rPr>
        <w:t xml:space="preserve">і</w:t>
      </w:r>
      <w:r>
        <w:rPr>
          <w:sz w:val="21"/>
          <w:szCs w:val="21"/>
        </w:rPr>
        <w:t xml:space="preserve"> від тиру накладу: до 2000 / 2000–5000 / 5000–10000.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Друк обкладинки вже входить у ціну за сторінку.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Друк — </w:t>
      </w:r>
      <w:r>
        <w:rPr>
          <w:b/>
          <w:bCs/>
          <w:sz w:val="21"/>
          <w:szCs w:val="21"/>
        </w:rPr>
        <w:t xml:space="preserve">без ПДВ</w:t>
      </w:r>
      <w:r>
        <w:rPr>
          <w:sz w:val="21"/>
          <w:szCs w:val="21"/>
        </w:rPr>
        <w:t xml:space="preserve"> (книжкова пільга).</w:t>
      </w:r>
    </w:p>
    <w:p>
      <w:pPr>
        <w:pStyle w:val="Heading1"/>
      </w:pPr>
      <w:r>
        <w:t xml:space="preserve">7. Формула РРЦ</w:t>
      </w:r>
    </w:p>
    <w:p>
      <w:pPr>
        <w:spacing w:after="120" w:line="276"/>
      </w:pPr>
      <w:r>
        <w:rPr>
          <w:sz w:val="21"/>
          <w:szCs w:val="21"/>
        </w:rPr>
        <w:t xml:space="preserve">Оригінал-макет розмазуємо на наклад (собівартість припадає на 1 примірник) і додаємо друк за одиницю; на суму — єдина націнка </w:t>
      </w:r>
      <w:r>
        <w:rPr>
          <w:b/>
          <w:bCs/>
          <w:sz w:val="21"/>
          <w:szCs w:val="21"/>
        </w:rPr>
        <w:t xml:space="preserve">k</w:t>
      </w:r>
      <w:r>
        <w:rPr>
          <w:sz w:val="21"/>
          <w:szCs w:val="21"/>
        </w:rPr>
        <w:t xml:space="preserve">: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собівартість_1_прим = ОРИГІНАЛ-МАКЕТ / наклад + друк_за_шт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РРЦ = округл_до_9( k × собівартість_1_прим )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Округлення до найближчого числа, що закінчується на 9</w:t>
      </w:r>
      <w:r>
        <w:rPr>
          <w:sz w:val="21"/>
          <w:szCs w:val="21"/>
        </w:rPr>
        <w:t xml:space="preserve"> (…239, 249, 259) за звичайним правилом (пів — вгору):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РРЦ_9 = ОКРУГЛ((x − 9) / 10) × 10 + 9      напр. 247→249, 253→249, 255→259</w:t>
      </w:r>
    </w:p>
    <w:p>
      <w:pPr>
        <w:spacing w:after="120" w:line="264"/>
      </w:pPr>
      <w:r>
        <w:rPr>
          <w:i/>
          <w:iCs/>
          <w:color w:val="808080"/>
          <w:sz w:val="20"/>
          <w:szCs w:val="20"/>
        </w:rPr>
        <w:t xml:space="preserve">k — поки одне число на всі книги (~3,9). Змінний коефіцієнт за серіями/типами — питання на майбутнє (§10).</w:t>
      </w:r>
    </w:p>
    <w:p>
      <w:r>
        <w:br w:type="page"/>
      </w:r>
    </w:p>
    <w:p>
      <w:pPr>
        <w:pStyle w:val="Heading1"/>
      </w:pPr>
      <w:r>
        <w:t xml:space="preserve">8. Податки</w:t>
      </w:r>
    </w:p>
    <w:p>
      <w:pPr>
        <w:spacing w:after="120" w:line="276"/>
      </w:pPr>
      <w:r>
        <w:rPr>
          <w:sz w:val="21"/>
          <w:szCs w:val="21"/>
        </w:rPr>
        <w:t xml:space="preserve">Тариф кодується «чистими» (на руки виконавцю). Податки нараховуються згори; у собівартість лягає сума з податками. Ставки: </w:t>
      </w:r>
      <w:r>
        <w:rPr>
          <w:b/>
          <w:bCs/>
          <w:sz w:val="21"/>
          <w:szCs w:val="21"/>
        </w:rPr>
        <w:t xml:space="preserve">ПДФО 18%, ВЗ 5%, ЄСВ 22%.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Тіло нарахування = чистими ÷ 0,77        (ПДФО і ВЗ утримуються з тіла)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ЄСВ = тіло × 0,22   (згори, окремий рядок, ЛИШЕ ДП)</w:t>
      </w:r>
    </w:p>
    <w:p>
      <w:pPr>
        <w:spacing w:after="60"/>
      </w:pPr>
      <w:r>
        <w:rPr>
          <w:sz w:val="21"/>
          <w:szCs w:val="21"/>
        </w:rPr>
        <w:t xml:space="preserve">Коефіцієнти від «чистими»: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4513"/>
        <w:gridCol w:w="2256"/>
        <w:gridCol w:w="2257"/>
      </w:tblGrid>
      <w:tr>
        <w:trPr>
          <w:tblHeader/>
        </w:trPr>
        <w:tc>
          <w:tcPr>
            <w:tcW w:type="dxa" w:w="4513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Величина</w:t>
            </w:r>
          </w:p>
        </w:tc>
        <w:tc>
          <w:tcPr>
            <w:tcW w:type="dxa" w:w="225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Множник</w:t>
            </w:r>
          </w:p>
        </w:tc>
        <w:tc>
          <w:tcPr>
            <w:tcW w:type="dxa" w:w="2257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Кому</w:t>
            </w:r>
          </w:p>
        </w:tc>
      </w:tr>
      <w:tr>
        <w:tc>
          <w:tcPr>
            <w:tcW w:type="dxa" w:w="45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Тіло в собівартість</w:t>
            </w:r>
          </w:p>
        </w:tc>
        <w:tc>
          <w:tcPr>
            <w:tcW w:type="dxa" w:w="22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× 1,2987</w:t>
            </w:r>
          </w:p>
        </w:tc>
        <w:tc>
          <w:tcPr>
            <w:tcW w:type="dxa" w:w="22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усі</w:t>
            </w:r>
          </w:p>
        </w:tc>
      </w:tr>
      <w:tr>
        <w:tc>
          <w:tcPr>
            <w:tcW w:type="dxa" w:w="45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ЄСВ (окремий рядок)</w:t>
            </w:r>
          </w:p>
        </w:tc>
        <w:tc>
          <w:tcPr>
            <w:tcW w:type="dxa" w:w="22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× 0,2857</w:t>
            </w:r>
          </w:p>
        </w:tc>
        <w:tc>
          <w:tcPr>
            <w:tcW w:type="dxa" w:w="22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ДП</w:t>
            </w:r>
          </w:p>
        </w:tc>
      </w:tr>
      <w:tr>
        <w:tc>
          <w:tcPr>
            <w:tcW w:type="dxa" w:w="4513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Разом ДП (тіло + ЄСВ)</w:t>
            </w:r>
          </w:p>
        </w:tc>
        <w:tc>
          <w:tcPr>
            <w:tcW w:type="dxa" w:w="2256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× 1,5844</w:t>
            </w:r>
          </w:p>
        </w:tc>
        <w:tc>
          <w:tcPr>
            <w:tcW w:type="dxa" w:w="2257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ДП</w:t>
            </w:r>
          </w:p>
        </w:tc>
      </w:tr>
      <w:tr>
        <w:tc>
          <w:tcPr>
            <w:tcW w:type="dxa" w:w="4513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Разом АЛД (= тіло)</w:t>
            </w:r>
          </w:p>
        </w:tc>
        <w:tc>
          <w:tcPr>
            <w:tcW w:type="dxa" w:w="2256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× 1,2987</w:t>
            </w:r>
          </w:p>
        </w:tc>
        <w:tc>
          <w:tcPr>
            <w:tcW w:type="dxa" w:w="2257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АЛД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>Приклад на 45 грн «чистими»: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4626"/>
        <w:gridCol w:w="2200"/>
        <w:gridCol w:w="2200"/>
      </w:tblGrid>
      <w:tr>
        <w:trPr>
          <w:tblHeader/>
        </w:trPr>
        <w:tc>
          <w:tcPr>
            <w:tcW w:type="dxa" w:w="462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Складова</w:t>
            </w:r>
          </w:p>
        </w:tc>
        <w:tc>
          <w:tcPr>
            <w:tcW w:type="dxa" w:w="2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АЛД, грн</w:t>
            </w:r>
          </w:p>
        </w:tc>
        <w:tc>
          <w:tcPr>
            <w:tcW w:type="dxa" w:w="2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ДП, грн</w:t>
            </w:r>
          </w:p>
        </w:tc>
      </w:tr>
      <w:tr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Тариф — на руки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45,00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45,00</w:t>
            </w:r>
          </w:p>
        </w:tc>
      </w:tr>
      <w:tr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Тіло (÷ 0,77)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58,44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58,44</w:t>
            </w:r>
          </w:p>
        </w:tc>
      </w:tr>
      <w:tr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ПДФО 18% / ВЗ 5% (з тіла)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10,52 / 2,92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10,52 / 2,92</w:t>
            </w:r>
          </w:p>
        </w:tc>
      </w:tr>
      <w:tr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ЄСВ 22% (згори)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12,86</w:t>
            </w:r>
          </w:p>
        </w:tc>
      </w:tr>
      <w:tr>
        <w:tc>
          <w:tcPr>
            <w:tcW w:type="dxa" w:w="4626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РАЗОМ рядок</w:t>
            </w:r>
          </w:p>
        </w:tc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58,44</w:t>
            </w:r>
          </w:p>
        </w:tc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71,30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Розподіл за статтями:</w:t>
      </w:r>
      <w:r>
        <w:rPr>
          <w:sz w:val="21"/>
          <w:szCs w:val="21"/>
        </w:rPr>
        <w:t xml:space="preserve"> АЛД — аванс за текст, переклад. ДП — редагування, коректура, обкладинка, ефекти, інші.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Податкове навантаження</w:t>
      </w:r>
      <w:r>
        <w:rPr>
          <w:sz w:val="21"/>
          <w:szCs w:val="21"/>
        </w:rPr>
        <w:t xml:space="preserve"> — три показники: сума всіх податків (ПДФО + ВЗ + ЄСВ) ділиться на (1) оригінал-макет, (2) повну собівартість = оригінал-макет + друк × наклад, (3) РРЦ × наклад.</w:t>
      </w:r>
    </w:p>
    <w:p>
      <w:pPr>
        <w:spacing w:after="120" w:line="264"/>
      </w:pPr>
      <w:r>
        <w:rPr>
          <w:i/>
          <w:iCs/>
          <w:color w:val="808080"/>
          <w:sz w:val="20"/>
          <w:szCs w:val="20"/>
        </w:rPr>
        <w:t xml:space="preserve">Детальна методика податків, робочі приклади й чек-лист — в окремому документі «Методика розрахунку податків», що переданий у фінансовий відділ на перевірку.</w:t>
      </w:r>
    </w:p>
    <w:p>
      <w:pPr>
        <w:pStyle w:val="Heading1"/>
      </w:pPr>
      <w:r>
        <w:t xml:space="preserve">9. Сітки параметрів (заповнити числами)</w:t>
      </w:r>
    </w:p>
    <w:p>
      <w:pPr>
        <w:spacing w:after="120" w:line="276"/>
      </w:pPr>
      <w:r>
        <w:rPr>
          <w:sz w:val="21"/>
          <w:szCs w:val="21"/>
        </w:rPr>
        <w:t xml:space="preserve">Логіка вище — скелет. Щоб рахувало, треба наповнити п’ять таблиць. </w:t>
      </w:r>
      <w:r>
        <w:rPr>
          <w:i/>
          <w:iCs/>
          <w:color w:val="996600"/>
          <w:sz w:val="21"/>
          <w:szCs w:val="21"/>
        </w:rPr>
        <w:t xml:space="preserve">Рівні зірковості й межі тирів — узгодити на зустрічі.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9.1 Тарифи перекладу і редагування</w:t>
      </w:r>
      <w:r>
        <w:rPr>
          <w:sz w:val="21"/>
          <w:szCs w:val="21"/>
        </w:rPr>
        <w:t xml:space="preserve"> — грн/1000 знаків «чистими», за рівнями зірковості: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026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02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Вид робіт</w:t>
            </w:r>
          </w:p>
        </w:tc>
        <w:tc>
          <w:tcPr>
            <w:tcW w:type="dxa" w:w="15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Зірк. 1</w:t>
            </w:r>
          </w:p>
        </w:tc>
        <w:tc>
          <w:tcPr>
            <w:tcW w:type="dxa" w:w="15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Зірк. 2</w:t>
            </w:r>
          </w:p>
        </w:tc>
        <w:tc>
          <w:tcPr>
            <w:tcW w:type="dxa" w:w="15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Зірк. 3</w:t>
            </w:r>
          </w:p>
        </w:tc>
        <w:tc>
          <w:tcPr>
            <w:tcW w:type="dxa" w:w="15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Зірк. …</w:t>
            </w:r>
          </w:p>
        </w:tc>
      </w:tr>
      <w:tr>
        <w:tc>
          <w:tcPr>
            <w:tcW w:type="dxa" w:w="30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Переклад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Редагування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9.2 Знаків на сторінку</w:t>
      </w:r>
      <w:r>
        <w:rPr>
          <w:sz w:val="21"/>
          <w:szCs w:val="21"/>
        </w:rPr>
        <w:t xml:space="preserve"> — за форматом: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4513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Знаків на сторінку</w:t>
            </w:r>
          </w:p>
        </w:tc>
      </w:tr>
      <w:tr>
        <w:tc>
          <w:tcPr>
            <w:tcW w:type="dxa" w:w="45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Генеральний</w:t>
            </w:r>
          </w:p>
        </w:tc>
        <w:tc>
          <w:tcPr>
            <w:tcW w:type="dxa" w:w="45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Збільшений</w:t>
            </w:r>
          </w:p>
        </w:tc>
        <w:tc>
          <w:tcPr>
            <w:tcW w:type="dxa" w:w="45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9.3 Ціна друку 1 сторінки</w:t>
      </w:r>
      <w:r>
        <w:rPr>
          <w:sz w:val="21"/>
          <w:szCs w:val="21"/>
        </w:rPr>
        <w:t xml:space="preserve"> — за форматом і тиром накладу (грн, без ПДВ):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26"/>
        <w:gridCol w:w="2200"/>
        <w:gridCol w:w="2200"/>
        <w:gridCol w:w="2200"/>
      </w:tblGrid>
      <w:tr>
        <w:trPr>
          <w:tblHeader/>
        </w:trPr>
        <w:tc>
          <w:tcPr>
            <w:tcW w:type="dxa" w:w="242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до 2000</w:t>
            </w:r>
          </w:p>
        </w:tc>
        <w:tc>
          <w:tcPr>
            <w:tcW w:type="dxa" w:w="2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2000–5000</w:t>
            </w:r>
          </w:p>
        </w:tc>
        <w:tc>
          <w:tcPr>
            <w:tcW w:type="dxa" w:w="2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5000–10000</w:t>
            </w:r>
          </w:p>
        </w:tc>
      </w:tr>
      <w:tr>
        <w:tc>
          <w:tcPr>
            <w:tcW w:type="dxa" w:w="24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Генеральний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Збільшений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9.4 Ефекти обкладинки</w:t>
      </w:r>
      <w:r>
        <w:rPr>
          <w:sz w:val="21"/>
          <w:szCs w:val="21"/>
        </w:rPr>
        <w:t xml:space="preserve"> — константа на проєкт (грн, «чистими»):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Норма</w:t>
            </w:r>
          </w:p>
        </w:tc>
        <w:tc>
          <w:tcPr>
            <w:tcW w:type="dxa" w:w="3009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Бонус</w:t>
            </w:r>
          </w:p>
        </w:tc>
        <w:tc>
          <w:tcPr>
            <w:tcW w:type="dxa" w:w="3009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Преміум</w:t>
            </w:r>
          </w:p>
        </w:tc>
      </w:tr>
      <w:tr>
        <w:tc>
          <w:tcPr>
            <w:tcW w:type="dxa" w:w="30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9.5 Загальні коефіцієнти</w:t>
      </w:r>
      <w:r>
        <w:rPr>
          <w:sz w:val="21"/>
          <w:szCs w:val="21"/>
        </w:rPr>
        <w:t xml:space="preserve"> — % інших витрат; k націнки; рівні зірковості (перелік).</w:t>
      </w:r>
    </w:p>
    <w:p>
      <w:pPr>
        <w:pStyle w:val="Heading1"/>
      </w:pPr>
      <w:r>
        <w:t xml:space="preserve">10. Відкриті питання для обговорення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Зірковість.</w:t>
      </w:r>
      <w:r>
        <w:rPr>
          <w:sz w:val="21"/>
          <w:szCs w:val="21"/>
        </w:rPr>
        <w:t xml:space="preserve"> Скільки рівнів, за якими критеріями, хто і коли присвоює?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Складність.</w:t>
      </w:r>
      <w:r>
        <w:rPr>
          <w:sz w:val="21"/>
          <w:szCs w:val="21"/>
        </w:rPr>
        <w:t xml:space="preserve"> Хто визначає (редактор?) і на якому етапі? Чи впливає складність/тип тексту ще й на щільність (знаків на сторінку)?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Межі тирів накладу.</w:t>
      </w:r>
      <w:r>
        <w:rPr>
          <w:sz w:val="21"/>
          <w:szCs w:val="21"/>
        </w:rPr>
        <w:t xml:space="preserve"> 2000 і 5000 — у нижній чи верхній діапазон? Чи є 4-й тир понад 10 000?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Аванс за текст.</w:t>
      </w:r>
      <w:r>
        <w:rPr>
          <w:sz w:val="21"/>
          <w:szCs w:val="21"/>
        </w:rPr>
        <w:t xml:space="preserve"> Якщо Правовласник — нерезидент, замість ПДФО/ВЗ може бути податок на репатріацію (роялті нерезиденту). Як рахувати?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Статус виконавців.</w:t>
      </w:r>
      <w:r>
        <w:rPr>
          <w:sz w:val="21"/>
          <w:szCs w:val="21"/>
        </w:rPr>
        <w:t xml:space="preserve"> Фізособи (видавництво — податковий агент) чи ФОП (без утримань)? Впливає на всю податкову частину.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Стеля ЄСВ.</w:t>
      </w:r>
      <w:r>
        <w:rPr>
          <w:sz w:val="21"/>
          <w:szCs w:val="21"/>
        </w:rPr>
        <w:t xml:space="preserve"> Максимальну базу (15 мінзарплат/міс) у плановому паспорті не застосовуємо — прийнятно?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Коефіцієнт k.</w:t>
      </w:r>
      <w:r>
        <w:rPr>
          <w:sz w:val="21"/>
          <w:szCs w:val="21"/>
        </w:rPr>
        <w:t xml:space="preserve"> Одне число на всі книги чи змінне за серіями/форматами?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Роялті.</w:t>
      </w:r>
      <w:r>
        <w:rPr>
          <w:sz w:val="21"/>
          <w:szCs w:val="21"/>
        </w:rPr>
        <w:t xml:space="preserve"> Коли додаємо і за якою логікою (ставка × РРЦ × наклад)?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Верстка.</w:t>
      </w:r>
      <w:r>
        <w:rPr>
          <w:sz w:val="21"/>
          <w:szCs w:val="21"/>
        </w:rPr>
        <w:t xml:space="preserve"> Наразі всередині «інших витрат». Виносити окремою статтею з власним тарифом, чи лишаємо у %?</w:t>
      </w:r>
    </w:p>
    <w:p>
      <w:pPr>
        <w:pStyle w:val="Heading1"/>
      </w:pPr>
      <w:r>
        <w:t xml:space="preserve">11. Глосарій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Термін</w:t>
            </w:r>
          </w:p>
        </w:tc>
        <w:tc>
          <w:tcPr>
            <w:tcW w:type="dxa" w:w="662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Оригінал-макет</w:t>
            </w:r>
          </w:p>
        </w:tc>
        <w:tc>
          <w:tcPr>
            <w:tcW w:type="dxa" w:w="6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сума видавничих (редакційних) витрат проєкту з податками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АЛД</w:t>
            </w:r>
          </w:p>
        </w:tc>
        <w:tc>
          <w:tcPr>
            <w:tcW w:type="dxa" w:w="6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авторсько-ліцензійний договір; без ЄСВ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ДП</w:t>
            </w:r>
          </w:p>
        </w:tc>
        <w:tc>
          <w:tcPr>
            <w:tcW w:type="dxa" w:w="6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договір підряду; з ЄСВ 22%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Тіло нарахування</w:t>
            </w:r>
          </w:p>
        </w:tc>
        <w:tc>
          <w:tcPr>
            <w:tcW w:type="dxa" w:w="6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сума до утримань = «чистими» ÷ 0,77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Чистими / на руки</w:t>
            </w:r>
          </w:p>
        </w:tc>
        <w:tc>
          <w:tcPr>
            <w:tcW w:type="dxa" w:w="6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сума, яку виконавець отримує після всіх утримань (= тариф)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Тир накладу</w:t>
            </w:r>
          </w:p>
        </w:tc>
        <w:tc>
          <w:tcPr>
            <w:tcW w:type="dxa" w:w="6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діапазон накладу, що визначає ціну друку сторінки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Зошит</w:t>
            </w:r>
          </w:p>
        </w:tc>
        <w:tc>
          <w:tcPr>
            <w:tcW w:type="dxa" w:w="6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кратність сторінок 16, до якої округлюємо обсяг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6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єдиний коефіцієнт націнки собівартості для РРЦ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2026-08-12T10:38:08.047Z</dcterms:created>
  <dcterms:modified xsi:type="dcterms:W3CDTF">2026-08-12T10:38:08.063Z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