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568D7" w14:textId="77777777" w:rsidR="00B0331F" w:rsidRDefault="00000000">
      <w:pPr>
        <w:spacing w:after="0"/>
        <w:ind w:left="-624" w:right="1128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836BBD3" wp14:editId="56D06265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57" cy="10692003"/>
                <wp:effectExtent l="0" t="0" r="0" b="0"/>
                <wp:wrapTopAndBottom/>
                <wp:docPr id="9551" name="Group 9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57" cy="10692003"/>
                          <a:chOff x="0" y="0"/>
                          <a:chExt cx="7560057" cy="10692003"/>
                        </a:xfrm>
                      </wpg:grpSpPr>
                      <wps:wsp>
                        <wps:cNvPr id="14867" name="Shape 14867"/>
                        <wps:cNvSpPr/>
                        <wps:spPr>
                          <a:xfrm>
                            <a:off x="0" y="0"/>
                            <a:ext cx="7560057" cy="10692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10692003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10692003"/>
                                </a:lnTo>
                                <a:lnTo>
                                  <a:pt x="0" y="1069200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9116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68" name="Shape 14868"/>
                        <wps:cNvSpPr/>
                        <wps:spPr>
                          <a:xfrm>
                            <a:off x="0" y="6480049"/>
                            <a:ext cx="7560057" cy="72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57" h="72009">
                                <a:moveTo>
                                  <a:pt x="0" y="0"/>
                                </a:moveTo>
                                <a:lnTo>
                                  <a:pt x="7560057" y="0"/>
                                </a:lnTo>
                                <a:lnTo>
                                  <a:pt x="7560057" y="72009"/>
                                </a:lnTo>
                                <a:lnTo>
                                  <a:pt x="0" y="720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Rectangle 8"/>
                        <wps:cNvSpPr/>
                        <wps:spPr>
                          <a:xfrm>
                            <a:off x="756031" y="1932839"/>
                            <a:ext cx="5134594" cy="56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CE2036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72"/>
                                </w:rPr>
                                <w:t>CLARA-Gainsight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756031" y="2580919"/>
                            <a:ext cx="5473293" cy="5624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94722D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FFFF"/>
                                  <w:sz w:val="72"/>
                                </w:rPr>
                                <w:t>Integration Charter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756031" y="3669640"/>
                            <a:ext cx="3833480" cy="2187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21201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CADCFC"/>
                                  <w:sz w:val="28"/>
                                </w:rPr>
                                <w:t>Version 1.0 (Draft)  |  13 March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756031" y="7082334"/>
                            <a:ext cx="2174075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27A39C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24"/>
                                </w:rPr>
                                <w:t>Author: Azmain Hossain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56031" y="7334301"/>
                            <a:ext cx="3503126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156B5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24"/>
                                </w:rPr>
                                <w:t>Customer Success Gen AI Programme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756031" y="7586269"/>
                            <a:ext cx="3451642" cy="1874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2E5CB" w14:textId="15F43DF5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9CA3AF"/>
                                  <w:sz w:val="24"/>
                                </w:rPr>
                                <w:t xml:space="preserve">Moody's Analytics - Insurance </w:t>
                              </w:r>
                              <w:r w:rsidR="000041C0">
                                <w:rPr>
                                  <w:rFonts w:ascii="Arial" w:eastAsia="Arial" w:hAnsi="Arial" w:cs="Arial"/>
                                  <w:color w:val="9CA3AF"/>
                                  <w:sz w:val="24"/>
                                </w:rPr>
                                <w:t>OU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36BBD3" id="Group 9551" o:spid="_x0000_s1026" style="position:absolute;left:0;text-align:left;margin-left:0;margin-top:0;width:595.3pt;height:841.9pt;z-index:251658240;mso-position-horizontal-relative:page;mso-position-vertical-relative:page" coordsize="75600,106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">
                <v:shape id="Shape 14867" o:spid="_x0000_s1027" style="position:absolute;width:75600;height:106920;visibility:visible;mso-wrap-style:square;v-text-anchor:top" coordsize="7560057,10692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" path="m,l7560057,r,10692003l,10692003,,e" fillcolor="#091164" stroked="f" strokeweight="0">
                  <v:stroke miterlimit="83231f" joinstyle="miter" endcap="square"/>
                  <v:path arrowok="t" textboxrect="0,0,7560057,10692003"/>
                </v:shape>
                <v:shape id="Shape 14868" o:spid="_x0000_s1028" style="position:absolute;top:64800;width:75600;height:720;visibility:visible;mso-wrap-style:square;v-text-anchor:top" coordsize="7560057,72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" path="m,l7560057,r,72009l,72009,,e" fillcolor="#005eff" stroked="f" strokeweight="0">
                  <v:stroke miterlimit="83231f" joinstyle="miter" endcap="square"/>
                  <v:path arrowok="t" textboxrect="0,0,7560057,72009"/>
                </v:shape>
                <v:rect id="Rectangle 8" o:spid="_x0000_s1029" style="position:absolute;left:7560;top:19328;width:51346;height:5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CCE2036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72"/>
                          </w:rPr>
                          <w:t>CLARA-Gainsight</w:t>
                        </w:r>
                      </w:p>
                    </w:txbxContent>
                  </v:textbox>
                </v:rect>
                <v:rect id="Rectangle 9" o:spid="_x0000_s1030" style="position:absolute;left:7560;top:25809;width:54733;height:56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0D94722D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FFFFFF"/>
                            <w:sz w:val="72"/>
                          </w:rPr>
                          <w:t>Integration Charter</w:t>
                        </w:r>
                      </w:p>
                    </w:txbxContent>
                  </v:textbox>
                </v:rect>
                <v:rect id="Rectangle 10" o:spid="_x0000_s1031" style="position:absolute;left:7560;top:36696;width:38335;height:21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4E21201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CADCFC"/>
                            <w:sz w:val="28"/>
                          </w:rPr>
                          <w:t>Version 1.0 (Draft)  |  13 March 2026</w:t>
                        </w:r>
                      </w:p>
                    </w:txbxContent>
                  </v:textbox>
                </v:rect>
                <v:rect id="Rectangle 11" o:spid="_x0000_s1032" style="position:absolute;left:7560;top:70823;width:21741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2727A39C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24"/>
                          </w:rPr>
                          <w:t>Author: Azmain Hossain</w:t>
                        </w:r>
                      </w:p>
                    </w:txbxContent>
                  </v:textbox>
                </v:rect>
                <v:rect id="Rectangle 12" o:spid="_x0000_s1033" style="position:absolute;left:7560;top:73343;width:35031;height:18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71A156B5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24"/>
                          </w:rPr>
                          <w:t>Customer Success Gen AI Programme</w:t>
                        </w:r>
                      </w:p>
                    </w:txbxContent>
                  </v:textbox>
                </v:rect>
                <v:rect id="Rectangle 13" o:spid="_x0000_s1034" style="position:absolute;left:7560;top:75862;width:34516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702E5CB" w14:textId="15F43DF5" w:rsidR="00B0331F" w:rsidRDefault="00000000">
                        <w:r>
                          <w:rPr>
                            <w:rFonts w:ascii="Arial" w:eastAsia="Arial" w:hAnsi="Arial" w:cs="Arial"/>
                            <w:color w:val="9CA3AF"/>
                            <w:sz w:val="24"/>
                          </w:rPr>
                          <w:t xml:space="preserve">Moody's Analytics - Insurance </w:t>
                        </w:r>
                        <w:r w:rsidR="000041C0">
                          <w:rPr>
                            <w:rFonts w:ascii="Arial" w:eastAsia="Arial" w:hAnsi="Arial" w:cs="Arial"/>
                            <w:color w:val="9CA3AF"/>
                            <w:sz w:val="24"/>
                          </w:rPr>
                          <w:t>OU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2DB3E39D" w14:textId="77777777" w:rsidR="00B0331F" w:rsidRDefault="00000000">
      <w:pPr>
        <w:pStyle w:val="Heading1"/>
        <w:ind w:left="341" w:hanging="356"/>
      </w:pPr>
      <w:r>
        <w:lastRenderedPageBreak/>
        <w:t>Purpose</w:t>
      </w:r>
    </w:p>
    <w:p w14:paraId="692FB9E7" w14:textId="77777777" w:rsidR="00B0331F" w:rsidRDefault="00000000">
      <w:pPr>
        <w:spacing w:after="24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135BA73E" wp14:editId="3E2BB43D">
                <wp:extent cx="1440053" cy="28829"/>
                <wp:effectExtent l="0" t="0" r="0" b="0"/>
                <wp:docPr id="11099" name="Group 11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73" name="Shape 14873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99" style="width:113.39pt;height:2.27002pt;mso-position-horizontal-relative:char;mso-position-vertical-relative:line" coordsize="14400,288">
                <v:shape id="Shape 14874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66FBB1C6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This charter defines the scope, responsibilities, timeline, and success criteria for integrating CLARA with Gainsight.</w:t>
      </w:r>
    </w:p>
    <w:p w14:paraId="60DFF77B" w14:textId="77777777" w:rsidR="00B0331F" w:rsidRDefault="00000000">
      <w:pPr>
        <w:spacing w:after="317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It exists to ensure both teams have a shared understanding of what will be built, by whom, and by when - so that no party is surprised by requirements, resource demands, or delivery expectations during execution.</w:t>
      </w:r>
    </w:p>
    <w:p w14:paraId="0B2621DF" w14:textId="77777777" w:rsidR="00B0331F" w:rsidRDefault="00000000">
      <w:pPr>
        <w:pStyle w:val="Heading1"/>
        <w:ind w:left="341" w:hanging="356"/>
      </w:pPr>
      <w:r>
        <w:t>Background</w:t>
      </w:r>
    </w:p>
    <w:p w14:paraId="50EE28F9" w14:textId="77777777" w:rsidR="00B0331F" w:rsidRDefault="00000000">
      <w:pPr>
        <w:spacing w:after="239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2DAE6346" wp14:editId="1623497A">
                <wp:extent cx="1440053" cy="28829"/>
                <wp:effectExtent l="0" t="0" r="0" b="0"/>
                <wp:docPr id="11100" name="Group 11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77" name="Shape 14877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0" style="width:113.39pt;height:2.27002pt;mso-position-horizontal-relative:char;mso-position-vertical-relative:line" coordsize="14400,288">
                <v:shape id="Shape 14878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5BA6C4CD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Gainsight</w:t>
      </w:r>
    </w:p>
    <w:p w14:paraId="27D8DF57" w14:textId="77777777" w:rsidR="00B0331F" w:rsidRDefault="00000000">
      <w:pPr>
        <w:spacing w:after="139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System of record for CSMs across Moody's Analytics Insurance Division. Provides a unified view of customer health, engagement, time tracking, and BAU activities. CSMs are being onboarded with a production go-live target of 30 March 2026.</w:t>
      </w:r>
    </w:p>
    <w:p w14:paraId="45FCD18A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CLARA</w:t>
      </w:r>
    </w:p>
    <w:p w14:paraId="0EFF792C" w14:textId="77777777" w:rsidR="00B0331F" w:rsidRDefault="00000000">
      <w:pPr>
        <w:spacing w:after="139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Internally built web application that tracks IRP adoption and migration across the insurance portfolio. Serves cross-functional teams - CSMs, product, implementation, and advisory - who need visibility into IRP use cases, blockers, adoption milestones, and migration progress. Used in weekly Portfolio Reviews and primary reporting surface for senior leadership.</w:t>
      </w:r>
    </w:p>
    <w:p w14:paraId="79D83EE2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The Problem</w:t>
      </w:r>
    </w:p>
    <w:p w14:paraId="77F16340" w14:textId="77777777" w:rsidR="00B0331F" w:rsidRDefault="00000000">
      <w:pPr>
        <w:spacing w:after="139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CSMs currently need to work in both systems. Without integration, CSMs must duplicate data entry, and cross-functional teams lose visibility into CSM-side activities.</w:t>
      </w:r>
    </w:p>
    <w:p w14:paraId="027997E6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The Goal</w:t>
      </w:r>
    </w:p>
    <w:p w14:paraId="0DC4F999" w14:textId="77777777" w:rsidR="00B0331F" w:rsidRDefault="00000000">
      <w:pPr>
        <w:spacing w:after="317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Enable CSMs to work primarily in Gainsight while ensuring IRP adoption data flows seamlessly to CLARA, and that cross-functional inputs captured in CLARA are visible back in Gainsight.</w:t>
      </w:r>
    </w:p>
    <w:p w14:paraId="58A8080C" w14:textId="77777777" w:rsidR="00B0331F" w:rsidRDefault="00000000">
      <w:pPr>
        <w:pStyle w:val="Heading1"/>
        <w:ind w:left="341" w:hanging="356"/>
      </w:pPr>
      <w:r>
        <w:t>Parties &amp; Stakeholders</w:t>
      </w:r>
    </w:p>
    <w:p w14:paraId="41499E4F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62C68703" wp14:editId="7536790B">
                <wp:extent cx="1440053" cy="28829"/>
                <wp:effectExtent l="0" t="0" r="0" b="0"/>
                <wp:docPr id="11101" name="Group 11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81" name="Shape 14881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01" style="width:113.39pt;height:2.26999pt;mso-position-horizontal-relative:char;mso-position-vertical-relative:line" coordsize="14400,288">
                <v:shape id="Shape 14882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404B1065" w14:textId="77777777" w:rsidR="00B0331F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CLARA Team</w:t>
      </w:r>
    </w:p>
    <w:tbl>
      <w:tblPr>
        <w:tblStyle w:val="TableGrid"/>
        <w:tblW w:w="10772" w:type="dxa"/>
        <w:tblInd w:w="-57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7937"/>
      </w:tblGrid>
      <w:tr w:rsidR="00B0331F" w14:paraId="3E8CCBAB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1AC0C869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Name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70D53630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Role</w:t>
            </w:r>
          </w:p>
        </w:tc>
      </w:tr>
      <w:tr w:rsidR="00B0331F" w14:paraId="1311A2D7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A6E3F4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Azmain Hossain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27D7C2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Programme Manager &amp; Lead Developer, CLARA</w:t>
            </w:r>
          </w:p>
        </w:tc>
      </w:tr>
      <w:tr w:rsidR="00B0331F" w14:paraId="436D8E27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17B853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Richard Dosoo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AB3812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Programme &amp; Operational Owner</w:t>
            </w:r>
          </w:p>
        </w:tc>
      </w:tr>
      <w:tr w:rsidR="00B0331F" w14:paraId="53D39F8E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CF34CB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BenVH (Van Houten)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D35E3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Infrastructure Engineer (AWS, CI/CD, App Factory)</w:t>
            </w:r>
          </w:p>
        </w:tc>
      </w:tr>
    </w:tbl>
    <w:p w14:paraId="502FBC58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789CF069" w14:textId="4E7A9840" w:rsidR="00B0331F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Gainsight / Business Systems Team</w:t>
      </w:r>
    </w:p>
    <w:tbl>
      <w:tblPr>
        <w:tblStyle w:val="TableGrid"/>
        <w:tblW w:w="10772" w:type="dxa"/>
        <w:tblInd w:w="-57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35"/>
        <w:gridCol w:w="7937"/>
      </w:tblGrid>
      <w:tr w:rsidR="00B0331F" w14:paraId="3541B9EA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37BFE694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Name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7FD8E1C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Role</w:t>
            </w:r>
          </w:p>
        </w:tc>
      </w:tr>
      <w:tr w:rsidR="00B0331F" w14:paraId="6F98AE57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586158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Tina Palumbo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3F3EB5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Business Systems, Gainsight Programme Lead</w:t>
            </w:r>
          </w:p>
        </w:tc>
      </w:tr>
      <w:tr w:rsidR="00B0331F" w14:paraId="0F920593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6526E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Rajesh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9364E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Solution Architect, Gainsight</w:t>
            </w:r>
          </w:p>
        </w:tc>
      </w:tr>
      <w:tr w:rsidR="00B0331F" w14:paraId="2534F201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FEC995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Shashank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2C4712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Technical Lead, Gainsight Application</w:t>
            </w:r>
          </w:p>
        </w:tc>
      </w:tr>
      <w:tr w:rsidR="00B0331F" w14:paraId="54805BF2" w14:textId="77777777">
        <w:trPr>
          <w:trHeight w:val="397"/>
        </w:trPr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34E33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Nadeem</w:t>
            </w:r>
          </w:p>
        </w:tc>
        <w:tc>
          <w:tcPr>
            <w:tcW w:w="793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6FE4A9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Project Manager, Gainsight Programme</w:t>
            </w:r>
          </w:p>
        </w:tc>
      </w:tr>
    </w:tbl>
    <w:p w14:paraId="5B542BA1" w14:textId="77777777" w:rsidR="00B0331F" w:rsidRDefault="00000000">
      <w:pPr>
        <w:pStyle w:val="Heading1"/>
        <w:ind w:left="341" w:hanging="356"/>
      </w:pPr>
      <w:r>
        <w:lastRenderedPageBreak/>
        <w:t>Guiding Principles</w:t>
      </w:r>
    </w:p>
    <w:p w14:paraId="471A9BBA" w14:textId="77777777" w:rsidR="00B0331F" w:rsidRDefault="00000000">
      <w:pPr>
        <w:spacing w:after="24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45CE9DF9" wp14:editId="228F206B">
                <wp:extent cx="1440053" cy="28829"/>
                <wp:effectExtent l="0" t="0" r="0" b="0"/>
                <wp:docPr id="13198" name="Group 131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85" name="Shape 14885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8" style="width:113.39pt;height:2.27002pt;mso-position-horizontal-relative:char;mso-position-vertical-relative:line" coordsize="14400,288">
                <v:shape id="Shape 14886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62D4F90C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Gainsight is the system of record for CSM BAU activities.</w:t>
      </w:r>
    </w:p>
    <w:p w14:paraId="1F633055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CSMs should not be required to enter the same data in two systems.</w:t>
      </w:r>
    </w:p>
    <w:p w14:paraId="3B41E0BB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CLARA is the system of record for cross-functional IRP adoption tracking.</w:t>
      </w:r>
    </w:p>
    <w:p w14:paraId="69573415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Product, implementation, and advisory teams work in CLARA and should not need Gainsight access.</w:t>
      </w:r>
    </w:p>
    <w:p w14:paraId="5175F4C7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Integration must be bi-directional.</w:t>
      </w:r>
    </w:p>
    <w:p w14:paraId="353C4664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Gainsight-originated data must flow to CLARA. CLARA-originated data must flow back to Gainsight.</w:t>
      </w:r>
    </w:p>
    <w:p w14:paraId="64654AD5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Neither system replaces the other.</w:t>
      </w:r>
    </w:p>
    <w:p w14:paraId="1CF4CBC9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Gainsight covers the full customer lifecycle. CLARA covers IRP adoption specifically.</w:t>
      </w:r>
    </w:p>
    <w:p w14:paraId="763AA1E7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Start small, prove connectivity, then expand.</w:t>
      </w:r>
    </w:p>
    <w:p w14:paraId="42620A7D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A POC must demonstrate end-to-end data flow before any production integration is built.</w:t>
      </w:r>
    </w:p>
    <w:p w14:paraId="463922B8" w14:textId="77777777" w:rsidR="00B0331F" w:rsidRDefault="00000000">
      <w:pPr>
        <w:numPr>
          <w:ilvl w:val="0"/>
          <w:numId w:val="1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No disruption to active migrations.</w:t>
      </w:r>
    </w:p>
    <w:p w14:paraId="18F5C75C" w14:textId="77777777" w:rsidR="00B0331F" w:rsidRDefault="00000000">
      <w:pPr>
        <w:spacing w:after="343"/>
        <w:ind w:left="449" w:hanging="10"/>
      </w:pPr>
      <w:r>
        <w:rPr>
          <w:rFonts w:ascii="Arial" w:eastAsia="Arial" w:hAnsi="Arial" w:cs="Arial"/>
          <w:color w:val="6B7280"/>
          <w:sz w:val="18"/>
        </w:rPr>
        <w:t>The 2026 insurance scorecard target (30+ migrations) takes priority. Integration work must not divert resources.</w:t>
      </w:r>
    </w:p>
    <w:p w14:paraId="27EDD815" w14:textId="77777777" w:rsidR="00B0331F" w:rsidRDefault="00000000">
      <w:pPr>
        <w:pStyle w:val="Heading1"/>
        <w:ind w:left="341" w:hanging="356"/>
      </w:pPr>
      <w:r>
        <w:t>Scope</w:t>
      </w:r>
    </w:p>
    <w:p w14:paraId="6A87784A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67DB5CDF" wp14:editId="6586B319">
                <wp:extent cx="1440053" cy="28829"/>
                <wp:effectExtent l="0" t="0" r="0" b="0"/>
                <wp:docPr id="13199" name="Group 13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89" name="Shape 14889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199" style="width:113.39pt;height:2.27002pt;mso-position-horizontal-relative:char;mso-position-vertical-relative:line" coordsize="14400,288">
                <v:shape id="Shape 14890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6A1EA6D7" w14:textId="77777777" w:rsidR="00B0331F" w:rsidRDefault="0000000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  <w:r>
        <w:rPr>
          <w:rFonts w:ascii="Arial" w:eastAsia="Arial" w:hAnsi="Arial" w:cs="Arial"/>
          <w:b/>
          <w:color w:val="091164"/>
          <w:sz w:val="24"/>
        </w:rPr>
        <w:t>Phase 1 - Foundation (Accounts &amp; Customer Updates)</w:t>
      </w:r>
    </w:p>
    <w:p w14:paraId="05EB10C2" w14:textId="77777777" w:rsidR="000041C0" w:rsidRDefault="000041C0">
      <w:pPr>
        <w:spacing w:after="3"/>
        <w:ind w:left="-5" w:hanging="10"/>
      </w:pPr>
    </w:p>
    <w:tbl>
      <w:tblPr>
        <w:tblStyle w:val="TableGrid"/>
        <w:tblW w:w="10772" w:type="dxa"/>
        <w:tblInd w:w="-57" w:type="dxa"/>
        <w:tblCellMar>
          <w:top w:w="123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5387"/>
      </w:tblGrid>
      <w:tr w:rsidR="00B0331F" w14:paraId="1F613468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34F37EE4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Source Object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7C57C32C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CLARA Target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4DE760BA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Direction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40768F38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Notes</w:t>
            </w:r>
          </w:p>
        </w:tc>
      </w:tr>
      <w:tr w:rsidR="00B0331F" w14:paraId="2538C2F5" w14:textId="77777777">
        <w:trPr>
          <w:trHeight w:val="680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F24442F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Account (Parent +</w:t>
            </w:r>
          </w:p>
          <w:p w14:paraId="5D58A71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Sub)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D0E623D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Parent Accounts /</w:t>
            </w:r>
          </w:p>
          <w:p w14:paraId="1BDB8BF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Customers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50943E7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-&gt; CLARA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22E4C7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Account hierarchy with parent-subsidiary relationships. 155+ active accounts.</w:t>
            </w:r>
          </w:p>
        </w:tc>
      </w:tr>
      <w:tr w:rsidR="00B0331F" w14:paraId="255BF423" w14:textId="77777777">
        <w:trPr>
          <w:trHeight w:val="680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D9BF44B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Customer Weekly</w:t>
            </w:r>
          </w:p>
          <w:p w14:paraId="32F7991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Updates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B8076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Customer Updates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FFE4C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Bi-directional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0F8D6F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Per-account summaries and meeting notes. CLARA auto-generates from transcribed calls. CSMs enter in Gainsight.</w:t>
            </w:r>
          </w:p>
        </w:tc>
      </w:tr>
    </w:tbl>
    <w:p w14:paraId="4CC205E6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53B1A8D9" w14:textId="25EE9475" w:rsidR="00B0331F" w:rsidRDefault="0000000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  <w:r>
        <w:rPr>
          <w:rFonts w:ascii="Arial" w:eastAsia="Arial" w:hAnsi="Arial" w:cs="Arial"/>
          <w:b/>
          <w:color w:val="091164"/>
          <w:sz w:val="24"/>
        </w:rPr>
        <w:t>Phase 2 - Core IRP Data</w:t>
      </w:r>
    </w:p>
    <w:p w14:paraId="3F228550" w14:textId="77777777" w:rsidR="000041C0" w:rsidRDefault="000041C0">
      <w:pPr>
        <w:spacing w:after="3"/>
        <w:ind w:left="-5" w:hanging="10"/>
      </w:pPr>
    </w:p>
    <w:tbl>
      <w:tblPr>
        <w:tblStyle w:val="TableGrid"/>
        <w:tblW w:w="10772" w:type="dxa"/>
        <w:tblInd w:w="-57" w:type="dxa"/>
        <w:tblCellMar>
          <w:top w:w="123" w:type="dxa"/>
          <w:left w:w="57" w:type="dxa"/>
          <w:bottom w:w="0" w:type="dxa"/>
          <w:right w:w="11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5387"/>
      </w:tblGrid>
      <w:tr w:rsidR="00B0331F" w14:paraId="34D7EFF2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1A76745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Source Object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E31A51E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CLARA Target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0198750D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Direction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0CF1EA8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Notes</w:t>
            </w:r>
          </w:p>
        </w:tc>
      </w:tr>
      <w:tr w:rsidR="00B0331F" w14:paraId="084F31D2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B1CDED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Contact / User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D9DECB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Employees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E8E358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-&gt; CLARA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0A8D71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Maps CSMs and key contacts to accounts.</w:t>
            </w:r>
          </w:p>
        </w:tc>
      </w:tr>
      <w:tr w:rsidR="00B0331F" w14:paraId="3833159A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36F0D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Case / Blocker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3C1969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Blockers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4BABA5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Bi-directional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A8C01F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CSM blockers from Gainsight, product/impl blockers from CLARA.</w:t>
            </w:r>
          </w:p>
        </w:tc>
      </w:tr>
      <w:tr w:rsidR="00B0331F" w14:paraId="5813820F" w14:textId="77777777">
        <w:trPr>
          <w:trHeight w:val="680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1AD07E6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Success Criteria (CSC)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4B8D030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Success Criteria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7BB977A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Bi-directional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52F711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IRP use case success criteria tracked by CSMs and product teams.</w:t>
            </w:r>
          </w:p>
        </w:tc>
      </w:tr>
    </w:tbl>
    <w:p w14:paraId="6936BDC4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478F43F6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4BF6734F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01110146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08E3B729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61E9F49A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725A3C44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7F716471" w14:textId="6759929B" w:rsidR="00B0331F" w:rsidRDefault="0000000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  <w:r>
        <w:rPr>
          <w:rFonts w:ascii="Arial" w:eastAsia="Arial" w:hAnsi="Arial" w:cs="Arial"/>
          <w:b/>
          <w:color w:val="091164"/>
          <w:sz w:val="24"/>
        </w:rPr>
        <w:lastRenderedPageBreak/>
        <w:t>Phase 3 - Extended Data</w:t>
      </w:r>
    </w:p>
    <w:p w14:paraId="0DC48EC2" w14:textId="77777777" w:rsidR="000041C0" w:rsidRDefault="000041C0">
      <w:pPr>
        <w:spacing w:after="3"/>
        <w:ind w:left="-5" w:hanging="10"/>
      </w:pPr>
    </w:p>
    <w:tbl>
      <w:tblPr>
        <w:tblStyle w:val="TableGrid"/>
        <w:tblW w:w="10772" w:type="dxa"/>
        <w:tblInd w:w="-57" w:type="dxa"/>
        <w:tblCellMar>
          <w:top w:w="123" w:type="dxa"/>
          <w:left w:w="57" w:type="dxa"/>
          <w:bottom w:w="0" w:type="dxa"/>
          <w:right w:w="50" w:type="dxa"/>
        </w:tblCellMar>
        <w:tblLook w:val="04A0" w:firstRow="1" w:lastRow="0" w:firstColumn="1" w:lastColumn="0" w:noHBand="0" w:noVBand="1"/>
      </w:tblPr>
      <w:tblGrid>
        <w:gridCol w:w="1984"/>
        <w:gridCol w:w="1984"/>
        <w:gridCol w:w="1417"/>
        <w:gridCol w:w="5387"/>
      </w:tblGrid>
      <w:tr w:rsidR="00B0331F" w14:paraId="3F82925E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3C2751F1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Source Object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4B7F4D03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CLARA Target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DBA4A59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Direction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1EC32581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Notes</w:t>
            </w:r>
          </w:p>
        </w:tc>
      </w:tr>
      <w:tr w:rsidR="00B0331F" w14:paraId="5C0996EF" w14:textId="77777777">
        <w:trPr>
          <w:trHeight w:val="680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0F35E516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Product Adoption</w:t>
            </w:r>
          </w:p>
          <w:p w14:paraId="21A234A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(PAT)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6CB3605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Product Adoption</w:t>
            </w:r>
          </w:p>
          <w:p w14:paraId="1CE45CF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Tracking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7FCF794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-&gt; CLARA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556D455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Adoption milestone data for IRP products.</w:t>
            </w:r>
          </w:p>
        </w:tc>
      </w:tr>
      <w:tr w:rsidR="00B0331F" w14:paraId="75561910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F02C7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Task / Activity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6E76CD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Action Plans / Items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4714D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Bi-directional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CF7B13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Cross-functional action items from both systems.</w:t>
            </w:r>
          </w:p>
        </w:tc>
      </w:tr>
      <w:tr w:rsidR="00B0331F" w14:paraId="64021181" w14:textId="77777777">
        <w:trPr>
          <w:trHeight w:val="397"/>
        </w:trPr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030C80B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Full Case Feed</w:t>
            </w:r>
          </w:p>
        </w:tc>
        <w:tc>
          <w:tcPr>
            <w:tcW w:w="198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1B2906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Case Feed (new table)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0A59669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-&gt; CLARA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2C112F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Historical case context for blocker analysis.</w:t>
            </w:r>
          </w:p>
        </w:tc>
      </w:tr>
    </w:tbl>
    <w:p w14:paraId="29FE6C38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3E667866" w14:textId="6E12F49D" w:rsidR="00B0331F" w:rsidRDefault="0000000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  <w:r>
        <w:rPr>
          <w:rFonts w:ascii="Arial" w:eastAsia="Arial" w:hAnsi="Arial" w:cs="Arial"/>
          <w:b/>
          <w:color w:val="091164"/>
          <w:sz w:val="24"/>
        </w:rPr>
        <w:t>Phase 4+ - Future Roadmap</w:t>
      </w:r>
    </w:p>
    <w:p w14:paraId="24915AB3" w14:textId="77777777" w:rsidR="000041C0" w:rsidRDefault="000041C0">
      <w:pPr>
        <w:spacing w:after="3"/>
        <w:ind w:left="-5" w:hanging="10"/>
      </w:pPr>
    </w:p>
    <w:tbl>
      <w:tblPr>
        <w:tblStyle w:val="TableGrid"/>
        <w:tblW w:w="10772" w:type="dxa"/>
        <w:tblInd w:w="-57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551"/>
        <w:gridCol w:w="4819"/>
        <w:gridCol w:w="3402"/>
      </w:tblGrid>
      <w:tr w:rsidR="00B0331F" w14:paraId="5BECCEFA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7C25C887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Capability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08ADD53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Description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7A59A3C6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Dependency</w:t>
            </w:r>
          </w:p>
        </w:tc>
      </w:tr>
      <w:tr w:rsidR="00B0331F" w14:paraId="30F2BD9A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6CD23F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Microsoft 365 Context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6E977B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Email + meeting signals per account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5A2C88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Graph API access, security review</w:t>
            </w:r>
          </w:p>
        </w:tc>
      </w:tr>
      <w:tr w:rsidR="00B0331F" w14:paraId="2F03EEDB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B60946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Usage Telemetry (MIDAS)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2972D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Product usage signals for adoption scoring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827195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MIDAS integration, data pipeline</w:t>
            </w:r>
          </w:p>
        </w:tc>
      </w:tr>
      <w:tr w:rsidR="00B0331F" w14:paraId="425C5289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44EF0FA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NPS Verbatim &amp; CTAs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237D66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Survey data for sentiment overlay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3280BD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Qualtrics integration</w:t>
            </w:r>
          </w:p>
        </w:tc>
      </w:tr>
      <w:tr w:rsidR="00B0331F" w14:paraId="585C2DDE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D73A8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Gainsight Health Scores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DECD79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CSM qualitative health (read-only)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21846A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Gainsight reporting API</w:t>
            </w:r>
          </w:p>
        </w:tc>
      </w:tr>
      <w:tr w:rsidR="00B0331F" w14:paraId="6FA193CE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358816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Write-back to SF/GS</w:t>
            </w: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568370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Gated future capability</w:t>
            </w: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A13409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Governance framework, security review</w:t>
            </w:r>
          </w:p>
        </w:tc>
      </w:tr>
      <w:tr w:rsidR="000041C0" w14:paraId="334EB459" w14:textId="77777777">
        <w:trPr>
          <w:trHeight w:val="397"/>
        </w:trPr>
        <w:tc>
          <w:tcPr>
            <w:tcW w:w="255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4772980C" w14:textId="77777777" w:rsidR="000041C0" w:rsidRDefault="000041C0" w:rsidP="000041C0">
            <w:pPr>
              <w:spacing w:after="0"/>
              <w:rPr>
                <w:rFonts w:ascii="Arial" w:eastAsia="Arial" w:hAnsi="Arial" w:cs="Arial"/>
                <w:color w:val="1F2937"/>
                <w:sz w:val="18"/>
              </w:rPr>
            </w:pPr>
          </w:p>
        </w:tc>
        <w:tc>
          <w:tcPr>
            <w:tcW w:w="48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23FEB9D" w14:textId="77777777" w:rsidR="000041C0" w:rsidRDefault="000041C0">
            <w:pPr>
              <w:spacing w:after="0"/>
              <w:ind w:left="57"/>
              <w:rPr>
                <w:rFonts w:ascii="Arial" w:eastAsia="Arial" w:hAnsi="Arial" w:cs="Arial"/>
                <w:color w:val="1F2937"/>
                <w:sz w:val="18"/>
              </w:rPr>
            </w:pPr>
          </w:p>
        </w:tc>
        <w:tc>
          <w:tcPr>
            <w:tcW w:w="34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93EA50D" w14:textId="77777777" w:rsidR="000041C0" w:rsidRDefault="000041C0">
            <w:pPr>
              <w:spacing w:after="0"/>
              <w:ind w:left="57"/>
              <w:rPr>
                <w:rFonts w:ascii="Arial" w:eastAsia="Arial" w:hAnsi="Arial" w:cs="Arial"/>
                <w:color w:val="1F2937"/>
                <w:sz w:val="18"/>
              </w:rPr>
            </w:pPr>
          </w:p>
        </w:tc>
      </w:tr>
    </w:tbl>
    <w:p w14:paraId="606FF98A" w14:textId="77777777" w:rsidR="000041C0" w:rsidRDefault="000041C0" w:rsidP="000041C0">
      <w:pPr>
        <w:pStyle w:val="Heading1"/>
        <w:numPr>
          <w:ilvl w:val="0"/>
          <w:numId w:val="0"/>
        </w:numPr>
        <w:ind w:left="341"/>
      </w:pPr>
    </w:p>
    <w:p w14:paraId="24B03375" w14:textId="1E488DAD" w:rsidR="00B0331F" w:rsidRDefault="00000000">
      <w:pPr>
        <w:pStyle w:val="Heading1"/>
        <w:ind w:left="341" w:hanging="356"/>
      </w:pPr>
      <w:r>
        <w:t>Integration Architecture</w:t>
      </w:r>
    </w:p>
    <w:p w14:paraId="16B2DF75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7B91A8FC" wp14:editId="1E0CC2C3">
                <wp:extent cx="1440053" cy="28829"/>
                <wp:effectExtent l="0" t="0" r="0" b="0"/>
                <wp:docPr id="13686" name="Group 13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893" name="Shape 14893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86" style="width:113.39pt;height:2.27002pt;mso-position-horizontal-relative:char;mso-position-vertical-relative:line" coordsize="14400,288">
                <v:shape id="Shape 14894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673337B6" w14:textId="77777777" w:rsidR="00B0331F" w:rsidRDefault="00000000">
      <w:pPr>
        <w:spacing w:after="11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Proposed Pattern</w:t>
      </w:r>
    </w:p>
    <w:p w14:paraId="32ED2167" w14:textId="77777777" w:rsidR="00B0331F" w:rsidRDefault="00000000">
      <w:pPr>
        <w:spacing w:after="184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Based on the Gainsight team's presentation and technical discussion on 12 March 2026:</w:t>
      </w:r>
    </w:p>
    <w:p w14:paraId="4E272F8E" w14:textId="77777777" w:rsidR="00B0331F" w:rsidRDefault="00000000">
      <w:pPr>
        <w:spacing w:after="467"/>
        <w:ind w:left="510"/>
      </w:pPr>
      <w:r>
        <w:rPr>
          <w:noProof/>
        </w:rPr>
        <mc:AlternateContent>
          <mc:Choice Requires="wpg">
            <w:drawing>
              <wp:inline distT="0" distB="0" distL="0" distR="0" wp14:anchorId="6A986603" wp14:editId="738E839D">
                <wp:extent cx="5940045" cy="2519934"/>
                <wp:effectExtent l="0" t="0" r="0" b="0"/>
                <wp:docPr id="13687" name="Group 1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0045" cy="2519934"/>
                          <a:chOff x="0" y="0"/>
                          <a:chExt cx="5940045" cy="2519934"/>
                        </a:xfrm>
                      </wpg:grpSpPr>
                      <wps:wsp>
                        <wps:cNvPr id="14895" name="Shape 14895"/>
                        <wps:cNvSpPr/>
                        <wps:spPr>
                          <a:xfrm>
                            <a:off x="360045" y="0"/>
                            <a:ext cx="1620012" cy="5400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 h="540004">
                                <a:moveTo>
                                  <a:pt x="0" y="0"/>
                                </a:moveTo>
                                <a:lnTo>
                                  <a:pt x="1620012" y="0"/>
                                </a:lnTo>
                                <a:lnTo>
                                  <a:pt x="1620012" y="540004"/>
                                </a:lnTo>
                                <a:lnTo>
                                  <a:pt x="0" y="5400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1">
                            <a:srgbClr val="F2F4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644271" y="216916"/>
                            <a:ext cx="1398406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B37AC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91164"/>
                                  <w:sz w:val="20"/>
                                </w:rPr>
                                <w:t>Salesforce (CRM)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Shape 313"/>
                        <wps:cNvSpPr/>
                        <wps:spPr>
                          <a:xfrm>
                            <a:off x="1170051" y="539877"/>
                            <a:ext cx="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2095">
                                <a:moveTo>
                                  <a:pt x="0" y="0"/>
                                </a:moveTo>
                                <a:lnTo>
                                  <a:pt x="0" y="252095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1080008" y="719963"/>
                            <a:ext cx="180086" cy="107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86" h="107950">
                                <a:moveTo>
                                  <a:pt x="0" y="0"/>
                                </a:moveTo>
                                <a:lnTo>
                                  <a:pt x="180086" y="0"/>
                                </a:lnTo>
                                <a:lnTo>
                                  <a:pt x="90043" y="1079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6" name="Shape 14896"/>
                        <wps:cNvSpPr/>
                        <wps:spPr>
                          <a:xfrm>
                            <a:off x="0" y="863981"/>
                            <a:ext cx="2339975" cy="100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9975" h="1007999">
                                <a:moveTo>
                                  <a:pt x="0" y="0"/>
                                </a:moveTo>
                                <a:lnTo>
                                  <a:pt x="2339975" y="0"/>
                                </a:lnTo>
                                <a:lnTo>
                                  <a:pt x="2339975" y="1007999"/>
                                </a:lnTo>
                                <a:lnTo>
                                  <a:pt x="0" y="100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005EFF"/>
                          </a:lnRef>
                          <a:fillRef idx="1">
                            <a:srgbClr val="EE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818642" y="998271"/>
                            <a:ext cx="934816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286965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91164"/>
                                  <w:sz w:val="24"/>
                                </w:rPr>
                                <w:t>Gainsight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639318" y="1235533"/>
                            <a:ext cx="141168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3D95B3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05EFF"/>
                                  <w:sz w:val="16"/>
                                </w:rPr>
                                <w:t>CSM System of Record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330454" y="1415492"/>
                            <a:ext cx="223312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280C9F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Health | Engagement | Time Tracking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43484" y="1595451"/>
                            <a:ext cx="1932466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830D4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Use Cases | Blockers | Activities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97" name="Shape 14897"/>
                        <wps:cNvSpPr/>
                        <wps:spPr>
                          <a:xfrm>
                            <a:off x="3600069" y="863981"/>
                            <a:ext cx="2339976" cy="1007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9976" h="1007999">
                                <a:moveTo>
                                  <a:pt x="0" y="0"/>
                                </a:moveTo>
                                <a:lnTo>
                                  <a:pt x="2339976" y="0"/>
                                </a:lnTo>
                                <a:lnTo>
                                  <a:pt x="2339976" y="1007999"/>
                                </a:lnTo>
                                <a:lnTo>
                                  <a:pt x="0" y="100799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1590" cap="sq">
                            <a:miter lim="127000"/>
                          </a:ln>
                        </wps:spPr>
                        <wps:style>
                          <a:lnRef idx="1">
                            <a:srgbClr val="091164"/>
                          </a:lnRef>
                          <a:fillRef idx="1">
                            <a:srgbClr val="EEF2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4503420" y="998271"/>
                            <a:ext cx="709219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9B1E0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91164"/>
                                  <w:sz w:val="24"/>
                                </w:rPr>
                                <w:t>CLARA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101084" y="1235533"/>
                            <a:ext cx="1779501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8DD5D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05EFF"/>
                                  <w:sz w:val="16"/>
                                </w:rPr>
                                <w:t>Cross-Functional IRP Tracker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3892931" y="1415492"/>
                            <a:ext cx="2332985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683EFB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Migration Reporting | Portfolio Reviews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4009517" y="1595451"/>
                            <a:ext cx="2023002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755A55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6"/>
                                </w:rPr>
                                <w:t>Blockers | Adoption | Action Plans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Shape 325"/>
                        <wps:cNvSpPr/>
                        <wps:spPr>
                          <a:xfrm>
                            <a:off x="2339975" y="1079881"/>
                            <a:ext cx="1260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94">
                                <a:moveTo>
                                  <a:pt x="0" y="0"/>
                                </a:moveTo>
                                <a:lnTo>
                                  <a:pt x="1260094" y="0"/>
                                </a:lnTo>
                              </a:path>
                            </a:pathLst>
                          </a:custGeom>
                          <a:ln w="18034" cap="sq">
                            <a:miter lim="127000"/>
                          </a:ln>
                        </wps:spPr>
                        <wps:style>
                          <a:lnRef idx="1">
                            <a:srgbClr val="10B98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" name="Shape 326"/>
                        <wps:cNvSpPr/>
                        <wps:spPr>
                          <a:xfrm>
                            <a:off x="3491992" y="1007999"/>
                            <a:ext cx="108077" cy="1438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143891">
                                <a:moveTo>
                                  <a:pt x="0" y="0"/>
                                </a:moveTo>
                                <a:lnTo>
                                  <a:pt x="108077" y="71882"/>
                                </a:lnTo>
                                <a:lnTo>
                                  <a:pt x="0" y="143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0B98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8" name="Shape 14898"/>
                        <wps:cNvSpPr/>
                        <wps:spPr>
                          <a:xfrm>
                            <a:off x="2483993" y="1151890"/>
                            <a:ext cx="935990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90" h="288036">
                                <a:moveTo>
                                  <a:pt x="0" y="0"/>
                                </a:moveTo>
                                <a:lnTo>
                                  <a:pt x="935990" y="0"/>
                                </a:lnTo>
                                <a:lnTo>
                                  <a:pt x="935990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FD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2742057" y="1186739"/>
                            <a:ext cx="55855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B24C7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59669"/>
                                  <w:sz w:val="14"/>
                                </w:rPr>
                                <w:t>Batch (S3)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569083" y="1330757"/>
                            <a:ext cx="101861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6D1EFD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59669"/>
                                  <w:sz w:val="14"/>
                                </w:rPr>
                                <w:t>Accounts, Contacts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Shape 330"/>
                        <wps:cNvSpPr/>
                        <wps:spPr>
                          <a:xfrm>
                            <a:off x="2339975" y="1583944"/>
                            <a:ext cx="126009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0094">
                                <a:moveTo>
                                  <a:pt x="0" y="0"/>
                                </a:moveTo>
                                <a:lnTo>
                                  <a:pt x="1260094" y="0"/>
                                </a:lnTo>
                              </a:path>
                            </a:pathLst>
                          </a:custGeom>
                          <a:ln w="18034" cap="sq">
                            <a:miter lim="127000"/>
                          </a:ln>
                        </wps:spPr>
                        <wps:style>
                          <a:lnRef idx="1">
                            <a:srgbClr val="005E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2339975" y="1511935"/>
                            <a:ext cx="108077" cy="144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144018">
                                <a:moveTo>
                                  <a:pt x="108077" y="0"/>
                                </a:moveTo>
                                <a:lnTo>
                                  <a:pt x="108077" y="144018"/>
                                </a:lnTo>
                                <a:lnTo>
                                  <a:pt x="0" y="72009"/>
                                </a:lnTo>
                                <a:lnTo>
                                  <a:pt x="108077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Shape 332"/>
                        <wps:cNvSpPr/>
                        <wps:spPr>
                          <a:xfrm>
                            <a:off x="3491992" y="1511935"/>
                            <a:ext cx="108077" cy="1440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077" h="144018">
                                <a:moveTo>
                                  <a:pt x="0" y="0"/>
                                </a:moveTo>
                                <a:lnTo>
                                  <a:pt x="108077" y="72009"/>
                                </a:lnTo>
                                <a:lnTo>
                                  <a:pt x="0" y="14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99" name="Shape 14899"/>
                        <wps:cNvSpPr/>
                        <wps:spPr>
                          <a:xfrm>
                            <a:off x="2483993" y="1655953"/>
                            <a:ext cx="935990" cy="2880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990" h="288036">
                                <a:moveTo>
                                  <a:pt x="0" y="0"/>
                                </a:moveTo>
                                <a:lnTo>
                                  <a:pt x="935990" y="0"/>
                                </a:lnTo>
                                <a:lnTo>
                                  <a:pt x="935990" y="288036"/>
                                </a:lnTo>
                                <a:lnTo>
                                  <a:pt x="0" y="2880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FF6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2648204" y="1690802"/>
                            <a:ext cx="80803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9DB70D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05EFF"/>
                                  <w:sz w:val="14"/>
                                </w:rPr>
                                <w:t>API (Real-time)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448052" y="1834820"/>
                            <a:ext cx="134045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A716F3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005EFF"/>
                                  <w:sz w:val="14"/>
                                </w:rPr>
                                <w:t>Blockers, Tasks, Updates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0" name="Shape 14900"/>
                        <wps:cNvSpPr/>
                        <wps:spPr>
                          <a:xfrm>
                            <a:off x="2339975" y="2087880"/>
                            <a:ext cx="1259967" cy="432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9967" h="432054">
                                <a:moveTo>
                                  <a:pt x="0" y="0"/>
                                </a:moveTo>
                                <a:lnTo>
                                  <a:pt x="1259967" y="0"/>
                                </a:lnTo>
                                <a:lnTo>
                                  <a:pt x="1259967" y="432054"/>
                                </a:lnTo>
                                <a:lnTo>
                                  <a:pt x="0" y="432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F59E0B"/>
                          </a:lnRef>
                          <a:fillRef idx="1">
                            <a:srgbClr val="FEF3C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673731" y="2189430"/>
                            <a:ext cx="788337" cy="1249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5A3B8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2400E"/>
                                  <w:sz w:val="16"/>
                                </w:rPr>
                                <w:t>App Factory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742819" y="2338756"/>
                            <a:ext cx="60442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770CE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92400E"/>
                                  <w:sz w:val="14"/>
                                </w:rPr>
                                <w:t>Middleware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01" name="Shape 14901"/>
                        <wps:cNvSpPr/>
                        <wps:spPr>
                          <a:xfrm>
                            <a:off x="360045" y="2087880"/>
                            <a:ext cx="1620012" cy="4320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0012" h="432054">
                                <a:moveTo>
                                  <a:pt x="0" y="0"/>
                                </a:moveTo>
                                <a:lnTo>
                                  <a:pt x="1620012" y="0"/>
                                </a:lnTo>
                                <a:lnTo>
                                  <a:pt x="1620012" y="432054"/>
                                </a:lnTo>
                                <a:lnTo>
                                  <a:pt x="0" y="4320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1">
                            <a:srgbClr val="F2F4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877824" y="2184121"/>
                            <a:ext cx="777273" cy="1406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0B5D05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91164"/>
                                  <w:sz w:val="18"/>
                                </w:rPr>
                                <w:t>Databricks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745109" y="2338756"/>
                            <a:ext cx="113022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49EBC6" w14:textId="77777777" w:rsidR="00B0331F" w:rsidRDefault="00000000">
                              <w:r>
                                <w:rPr>
                                  <w:rFonts w:ascii="Arial" w:eastAsia="Arial" w:hAnsi="Arial" w:cs="Arial"/>
                                  <w:color w:val="6B7280"/>
                                  <w:sz w:val="14"/>
                                </w:rPr>
                                <w:t>Reporting &amp; Analytics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Shape 342"/>
                        <wps:cNvSpPr/>
                        <wps:spPr>
                          <a:xfrm>
                            <a:off x="1170051" y="1871980"/>
                            <a:ext cx="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15900">
                                <a:moveTo>
                                  <a:pt x="0" y="0"/>
                                </a:moveTo>
                                <a:lnTo>
                                  <a:pt x="0" y="215900"/>
                                </a:lnTo>
                              </a:path>
                            </a:pathLst>
                          </a:custGeom>
                          <a:ln w="7239" cap="sq">
                            <a:miter lim="127000"/>
                          </a:ln>
                        </wps:spPr>
                        <wps:style>
                          <a:lnRef idx="1">
                            <a:srgbClr val="6B728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1080008" y="2015998"/>
                            <a:ext cx="180086" cy="71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086" h="71882">
                                <a:moveTo>
                                  <a:pt x="0" y="0"/>
                                </a:moveTo>
                                <a:lnTo>
                                  <a:pt x="180086" y="0"/>
                                </a:lnTo>
                                <a:lnTo>
                                  <a:pt x="90043" y="7188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B72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986603" id="Group 13687" o:spid="_x0000_s1035" style="width:467.7pt;height:198.4pt;mso-position-horizontal-relative:char;mso-position-vertical-relative:line" coordsize="59400,25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">
                <v:shape id="Shape 14895" o:spid="_x0000_s1036" style="position:absolute;left:3600;width:16200;height:5400;visibility:visible;mso-wrap-style:square;v-text-anchor:top" coordsize="1620012,5400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" path="m,l1620012,r,540004l,540004,,e" fillcolor="#f2f4f8" strokecolor="#6b7280" strokeweight=".57pt">
                  <v:stroke miterlimit="83231f" joinstyle="miter" endcap="square"/>
                  <v:path arrowok="t" textboxrect="0,0,1620012,540004"/>
                </v:shape>
                <v:rect id="Rectangle 312" o:spid="_x0000_s1037" style="position:absolute;left:6442;top:2169;width:13984;height:15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C+a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Hi4L5rEAAAA3AAAAA8A&#10;AAAAAAAAAAAAAAAABwIAAGRycy9kb3ducmV2LnhtbFBLBQYAAAAAAwADALcAAAD4AgAAAAA=&#10;" filled="f" stroked="f">
                  <v:textbox inset="0,0,0,0">
                    <w:txbxContent>
                      <w:p w14:paraId="470B37AC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091164"/>
                            <w:sz w:val="20"/>
                          </w:rPr>
                          <w:t>Salesforce (CRM)</w:t>
                        </w:r>
                      </w:p>
                    </w:txbxContent>
                  </v:textbox>
                </v:rect>
                <v:shape id="Shape 313" o:spid="_x0000_s1038" style="position:absolute;left:11700;top:5398;width:0;height:2521;visibility:visible;mso-wrap-style:square;v-text-anchor:top" coordsize="0,25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" path="m,l,252095e" filled="f" strokecolor="#6b7280" strokeweight=".57pt">
                  <v:stroke miterlimit="83231f" joinstyle="miter" endcap="square"/>
                  <v:path arrowok="t" textboxrect="0,0,0,252095"/>
                </v:shape>
                <v:shape id="Shape 314" o:spid="_x0000_s1039" style="position:absolute;left:10800;top:7199;width:1800;height:1080;visibility:visible;mso-wrap-style:square;v-text-anchor:top" coordsize="180086,107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" path="m,l180086,,90043,107950,,xe" fillcolor="#6b7280" stroked="f" strokeweight="0">
                  <v:stroke miterlimit="83231f" joinstyle="miter" endcap="square"/>
                  <v:path arrowok="t" textboxrect="0,0,180086,107950"/>
                </v:shape>
                <v:shape id="Shape 14896" o:spid="_x0000_s1040" style="position:absolute;top:8639;width:23399;height:10080;visibility:visible;mso-wrap-style:square;v-text-anchor:top" coordsize="2339975,100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" path="m,l2339975,r,1007999l,1007999,,e" fillcolor="#eef2ff" strokecolor="#005eff" strokeweight="1.7pt">
                  <v:stroke miterlimit="83231f" joinstyle="miter" endcap="square"/>
                  <v:path arrowok="t" textboxrect="0,0,2339975,1007999"/>
                </v:shape>
                <v:rect id="Rectangle 316" o:spid="_x0000_s1041" style="position:absolute;left:8186;top:9982;width:9348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4A286965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091164"/>
                            <w:sz w:val="24"/>
                          </w:rPr>
                          <w:t>Gainsight</w:t>
                        </w:r>
                      </w:p>
                    </w:txbxContent>
                  </v:textbox>
                </v:rect>
                <v:rect id="Rectangle 317" o:spid="_x0000_s1042" style="position:absolute;left:6393;top:12355;width:14117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4wC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azZ/g9E46AXN8BAAD//wMAUEsBAi0AFAAGAAgAAAAhANvh9svuAAAAhQEAABMAAAAAAAAA&#10;AAAAAAAAAAAAAFtDb250ZW50X1R5cGVzXS54bWxQSwECLQAUAAYACAAAACEAWvQsW78AAAAVAQAA&#10;CwAAAAAAAAAAAAAAAAAfAQAAX3JlbHMvLnJlbHNQSwECLQAUAAYACAAAACEAaM+MAsYAAADcAAAA&#10;DwAAAAAAAAAAAAAAAAAHAgAAZHJzL2Rvd25yZXYueG1sUEsFBgAAAAADAAMAtwAAAPoCAAAAAA==&#10;" filled="f" stroked="f">
                  <v:textbox inset="0,0,0,0">
                    <w:txbxContent>
                      <w:p w14:paraId="043D95B3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05EFF"/>
                            <w:sz w:val="16"/>
                          </w:rPr>
                          <w:t>CSM System of Record</w:t>
                        </w:r>
                      </w:p>
                    </w:txbxContent>
                  </v:textbox>
                </v:rect>
                <v:rect id="Rectangle 318" o:spid="_x0000_s1043" style="position:absolute;left:3304;top:14154;width:22331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BhwwgAAANwAAAAPAAAAZHJzL2Rvd25yZXYueG1sRE9Na8JA&#10;EL0L/odlCt50Y4W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AZUBhwwgAAANwAAAAPAAAA&#10;AAAAAAAAAAAAAAcCAABkcnMvZG93bnJldi54bWxQSwUGAAAAAAMAAwC3AAAA9gIAAAAA&#10;" filled="f" stroked="f">
                  <v:textbox inset="0,0,0,0">
                    <w:txbxContent>
                      <w:p w14:paraId="4D280C9F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6B7280"/>
                            <w:sz w:val="16"/>
                          </w:rPr>
                          <w:t>Health | Engagement | Time Tracking</w:t>
                        </w:r>
                      </w:p>
                    </w:txbxContent>
                  </v:textbox>
                </v:rect>
                <v:rect id="Rectangle 319" o:spid="_x0000_s1044" style="position:absolute;left:4434;top:15954;width:1932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3r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HYcvevEAAAA3AAAAA8A&#10;AAAAAAAAAAAAAAAABwIAAGRycy9kb3ducmV2LnhtbFBLBQYAAAAAAwADALcAAAD4AgAAAAA=&#10;" filled="f" stroked="f">
                  <v:textbox inset="0,0,0,0">
                    <w:txbxContent>
                      <w:p w14:paraId="01E830D4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6B7280"/>
                            <w:sz w:val="16"/>
                          </w:rPr>
                          <w:t>Use Cases | Blockers | Activities</w:t>
                        </w:r>
                      </w:p>
                    </w:txbxContent>
                  </v:textbox>
                </v:rect>
                <v:shape id="Shape 14897" o:spid="_x0000_s1045" style="position:absolute;left:36000;top:8639;width:23400;height:10080;visibility:visible;mso-wrap-style:square;v-text-anchor:top" coordsize="2339976,10079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" path="m,l2339976,r,1007999l,1007999,,e" fillcolor="#eef2ff" strokecolor="#091164" strokeweight="1.7pt">
                  <v:stroke miterlimit="83231f" joinstyle="miter" endcap="square"/>
                  <v:path arrowok="t" textboxrect="0,0,2339976,1007999"/>
                </v:shape>
                <v:rect id="Rectangle 321" o:spid="_x0000_s1046" style="position:absolute;left:45034;top:9982;width:7092;height:18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tQ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EYGe1DEAAAA3AAAAA8A&#10;AAAAAAAAAAAAAAAABwIAAGRycy9kb3ducmV2LnhtbFBLBQYAAAAAAwADALcAAAD4AgAAAAA=&#10;" filled="f" stroked="f">
                  <v:textbox inset="0,0,0,0">
                    <w:txbxContent>
                      <w:p w14:paraId="4FA9B1E0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091164"/>
                            <w:sz w:val="24"/>
                          </w:rPr>
                          <w:t>CLARA</w:t>
                        </w:r>
                      </w:p>
                    </w:txbxContent>
                  </v:textbox>
                </v:rect>
                <v:rect id="Rectangle 322" o:spid="_x0000_s1047" style="position:absolute;left:41010;top:12355;width:17795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4568DD5D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05EFF"/>
                            <w:sz w:val="16"/>
                          </w:rPr>
                          <w:t>Cross-Functional IRP Tracker</w:t>
                        </w:r>
                      </w:p>
                    </w:txbxContent>
                  </v:textbox>
                </v:rect>
                <v:rect id="Rectangle 323" o:spid="_x0000_s1048" style="position:absolute;left:38929;top:14154;width:2333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3A683EFB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6B7280"/>
                            <w:sz w:val="16"/>
                          </w:rPr>
                          <w:t>Migration Reporting | Portfolio Reviews</w:t>
                        </w:r>
                      </w:p>
                    </w:txbxContent>
                  </v:textbox>
                </v:rect>
                <v:rect id="Rectangle 324" o:spid="_x0000_s1049" style="position:absolute;left:40095;top:15954;width:20230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dj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BWcdjIxQAAANwAAAAP&#10;AAAAAAAAAAAAAAAAAAcCAABkcnMvZG93bnJldi54bWxQSwUGAAAAAAMAAwC3AAAA+QIAAAAA&#10;" filled="f" stroked="f">
                  <v:textbox inset="0,0,0,0">
                    <w:txbxContent>
                      <w:p w14:paraId="0B755A55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6B7280"/>
                            <w:sz w:val="16"/>
                          </w:rPr>
                          <w:t>Blockers | Adoption | Action Plans</w:t>
                        </w:r>
                      </w:p>
                    </w:txbxContent>
                  </v:textbox>
                </v:rect>
                <v:shape id="Shape 325" o:spid="_x0000_s1050" style="position:absolute;left:23399;top:10798;width:12601;height:0;visibility:visible;mso-wrap-style:square;v-text-anchor:top" coordsize="1260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" path="m,l1260094,e" filled="f" strokecolor="#10b981" strokeweight="1.42pt">
                  <v:stroke miterlimit="83231f" joinstyle="miter" endcap="square"/>
                  <v:path arrowok="t" textboxrect="0,0,1260094,0"/>
                </v:shape>
                <v:shape id="Shape 326" o:spid="_x0000_s1051" style="position:absolute;left:34919;top:10079;width:1081;height:1439;visibility:visible;mso-wrap-style:square;v-text-anchor:top" coordsize="108077,1438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" path="m,l108077,71882,,143891,,xe" fillcolor="#10b981" stroked="f" strokeweight="0">
                  <v:stroke miterlimit="83231f" joinstyle="miter" endcap="square"/>
                  <v:path arrowok="t" textboxrect="0,0,108077,143891"/>
                </v:shape>
                <v:shape id="Shape 14898" o:spid="_x0000_s1052" style="position:absolute;left:24839;top:11518;width:9360;height:2881;visibility:visible;mso-wrap-style:square;v-text-anchor:top" coordsize="935990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" path="m,l935990,r,288036l,288036,,e" fillcolor="#ecfdf5" stroked="f" strokeweight="0">
                  <v:stroke miterlimit="83231f" joinstyle="miter" endcap="square"/>
                  <v:path arrowok="t" textboxrect="0,0,935990,288036"/>
                </v:shape>
                <v:rect id="Rectangle 328" o:spid="_x0000_s1053" style="position:absolute;left:27420;top:11867;width:558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L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1zzSzcMAAADcAAAADwAA&#10;AAAAAAAAAAAAAAAHAgAAZHJzL2Rvd25yZXYueG1sUEsFBgAAAAADAAMAtwAAAPcCAAAAAA==&#10;" filled="f" stroked="f">
                  <v:textbox inset="0,0,0,0">
                    <w:txbxContent>
                      <w:p w14:paraId="036B24C7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59669"/>
                            <w:sz w:val="14"/>
                          </w:rPr>
                          <w:t>Batch (S3)</w:t>
                        </w:r>
                      </w:p>
                    </w:txbxContent>
                  </v:textbox>
                </v:rect>
                <v:rect id="Rectangle 329" o:spid="_x0000_s1054" style="position:absolute;left:25690;top:13307;width:10186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Hd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uHB3VsYAAADcAAAA&#10;DwAAAAAAAAAAAAAAAAAHAgAAZHJzL2Rvd25yZXYueG1sUEsFBgAAAAADAAMAtwAAAPoCAAAAAA==&#10;" filled="f" stroked="f">
                  <v:textbox inset="0,0,0,0">
                    <w:txbxContent>
                      <w:p w14:paraId="6C6D1EFD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59669"/>
                            <w:sz w:val="14"/>
                          </w:rPr>
                          <w:t>Accounts, Contacts</w:t>
                        </w:r>
                      </w:p>
                    </w:txbxContent>
                  </v:textbox>
                </v:rect>
                <v:shape id="Shape 330" o:spid="_x0000_s1055" style="position:absolute;left:23399;top:15839;width:12601;height:0;visibility:visible;mso-wrap-style:square;v-text-anchor:top" coordsize="126009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" path="m,l1260094,e" filled="f" strokecolor="#005eff" strokeweight="1.42pt">
                  <v:stroke miterlimit="83231f" joinstyle="miter" endcap="square"/>
                  <v:path arrowok="t" textboxrect="0,0,1260094,0"/>
                </v:shape>
                <v:shape id="Shape 331" o:spid="_x0000_s1056" style="position:absolute;left:23399;top:15119;width:1081;height:1440;visibility:visible;mso-wrap-style:square;v-text-anchor:top" coordsize="108077,144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" path="m108077,r,144018l,72009,108077,xe" fillcolor="#005eff" stroked="f" strokeweight="0">
                  <v:stroke miterlimit="83231f" joinstyle="miter" endcap="square"/>
                  <v:path arrowok="t" textboxrect="0,0,108077,144018"/>
                </v:shape>
                <v:shape id="Shape 332" o:spid="_x0000_s1057" style="position:absolute;left:34919;top:15119;width:1081;height:1440;visibility:visible;mso-wrap-style:square;v-text-anchor:top" coordsize="108077,144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" path="m,l108077,72009,,144018,,xe" fillcolor="#005eff" stroked="f" strokeweight="0">
                  <v:stroke miterlimit="83231f" joinstyle="miter" endcap="square"/>
                  <v:path arrowok="t" textboxrect="0,0,108077,144018"/>
                </v:shape>
                <v:shape id="Shape 14899" o:spid="_x0000_s1058" style="position:absolute;left:24839;top:16559;width:9360;height:2880;visibility:visible;mso-wrap-style:square;v-text-anchor:top" coordsize="935990,2880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" path="m,l935990,r,288036l,288036,,e" fillcolor="#eff6ff" stroked="f" strokeweight="0">
                  <v:stroke miterlimit="83231f" joinstyle="miter" endcap="square"/>
                  <v:path arrowok="t" textboxrect="0,0,935990,288036"/>
                </v:shape>
                <v:rect id="Rectangle 334" o:spid="_x0000_s1059" style="position:absolute;left:26482;top:16908;width:8080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1B9DB70D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05EFF"/>
                            <w:sz w:val="14"/>
                          </w:rPr>
                          <w:t>API (Real-time)</w:t>
                        </w:r>
                      </w:p>
                    </w:txbxContent>
                  </v:textbox>
                </v:rect>
                <v:rect id="Rectangle 335" o:spid="_x0000_s1060" style="position:absolute;left:24480;top:18348;width:13405;height:1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5OuO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C85OuOxQAAANwAAAAP&#10;AAAAAAAAAAAAAAAAAAcCAABkcnMvZG93bnJldi54bWxQSwUGAAAAAAMAAwC3AAAA+QIAAAAA&#10;" filled="f" stroked="f">
                  <v:textbox inset="0,0,0,0">
                    <w:txbxContent>
                      <w:p w14:paraId="43A716F3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005EFF"/>
                            <w:sz w:val="14"/>
                          </w:rPr>
                          <w:t>Blockers, Tasks, Updates</w:t>
                        </w:r>
                      </w:p>
                    </w:txbxContent>
                  </v:textbox>
                </v:rect>
                <v:shape id="Shape 14900" o:spid="_x0000_s1061" style="position:absolute;left:23399;top:20878;width:12600;height:4321;visibility:visible;mso-wrap-style:square;v-text-anchor:top" coordsize="1259967,432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" path="m,l1259967,r,432054l,432054,,e" fillcolor="#fef3c7" strokecolor="#f59e0b" strokeweight=".57pt">
                  <v:stroke miterlimit="83231f" joinstyle="miter" endcap="square"/>
                  <v:path arrowok="t" textboxrect="0,0,1259967,432054"/>
                </v:shape>
                <v:rect id="Rectangle 337" o:spid="_x0000_s1062" style="position:absolute;left:26737;top:21894;width:7883;height:1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015A3B8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92400E"/>
                            <w:sz w:val="16"/>
                          </w:rPr>
                          <w:t>App Factory</w:t>
                        </w:r>
                      </w:p>
                    </w:txbxContent>
                  </v:textbox>
                </v:rect>
                <v:rect id="Rectangle 338" o:spid="_x0000_s1063" style="position:absolute;left:27428;top:23387;width:6044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" filled="f" stroked="f">
                  <v:textbox inset="0,0,0,0">
                    <w:txbxContent>
                      <w:p w14:paraId="4C2770CE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92400E"/>
                            <w:sz w:val="14"/>
                          </w:rPr>
                          <w:t>Middleware</w:t>
                        </w:r>
                      </w:p>
                    </w:txbxContent>
                  </v:textbox>
                </v:rect>
                <v:shape id="Shape 14901" o:spid="_x0000_s1064" style="position:absolute;left:3600;top:20878;width:16200;height:4321;visibility:visible;mso-wrap-style:square;v-text-anchor:top" coordsize="1620012,4320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" path="m,l1620012,r,432054l,432054,,e" fillcolor="#f2f4f8" strokecolor="#6b7280" strokeweight=".57pt">
                  <v:stroke miterlimit="83231f" joinstyle="miter" endcap="square"/>
                  <v:path arrowok="t" textboxrect="0,0,1620012,432054"/>
                </v:shape>
                <v:rect id="Rectangle 340" o:spid="_x0000_s1065" style="position:absolute;left:8778;top:21841;width:7772;height:14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Ttr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PSVO2vBAAAA3AAAAA8AAAAA&#10;AAAAAAAAAAAABwIAAGRycy9kb3ducmV2LnhtbFBLBQYAAAAAAwADALcAAAD1AgAAAAA=&#10;" filled="f" stroked="f">
                  <v:textbox inset="0,0,0,0">
                    <w:txbxContent>
                      <w:p w14:paraId="6E0B5D05" w14:textId="77777777" w:rsidR="00B0331F" w:rsidRDefault="00000000">
                        <w:r>
                          <w:rPr>
                            <w:rFonts w:ascii="Arial" w:eastAsia="Arial" w:hAnsi="Arial" w:cs="Arial"/>
                            <w:b/>
                            <w:color w:val="091164"/>
                            <w:sz w:val="18"/>
                          </w:rPr>
                          <w:t>Databricks</w:t>
                        </w:r>
                      </w:p>
                    </w:txbxContent>
                  </v:textbox>
                </v:rect>
                <v:rect id="Rectangle 341" o:spid="_x0000_s1066" style="position:absolute;left:7451;top:23387;width:11302;height:10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Z7w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hZPM/g9E46AXN8BAAD//wMAUEsBAi0AFAAGAAgAAAAhANvh9svuAAAAhQEAABMAAAAAAAAA&#10;AAAAAAAAAAAAAFtDb250ZW50X1R5cGVzXS54bWxQSwECLQAUAAYACAAAACEAWvQsW78AAAAVAQAA&#10;CwAAAAAAAAAAAAAAAAAfAQAAX3JlbHMvLnJlbHNQSwECLQAUAAYACAAAACEAm9me8MYAAADcAAAA&#10;DwAAAAAAAAAAAAAAAAAHAgAAZHJzL2Rvd25yZXYueG1sUEsFBgAAAAADAAMAtwAAAPoCAAAAAA==&#10;" filled="f" stroked="f">
                  <v:textbox inset="0,0,0,0">
                    <w:txbxContent>
                      <w:p w14:paraId="2549EBC6" w14:textId="77777777" w:rsidR="00B0331F" w:rsidRDefault="00000000">
                        <w:r>
                          <w:rPr>
                            <w:rFonts w:ascii="Arial" w:eastAsia="Arial" w:hAnsi="Arial" w:cs="Arial"/>
                            <w:color w:val="6B7280"/>
                            <w:sz w:val="14"/>
                          </w:rPr>
                          <w:t>Reporting &amp; Analytics</w:t>
                        </w:r>
                      </w:p>
                    </w:txbxContent>
                  </v:textbox>
                </v:rect>
                <v:shape id="Shape 342" o:spid="_x0000_s1067" style="position:absolute;left:11700;top:18719;width:0;height:2159;visibility:visible;mso-wrap-style:square;v-text-anchor:top" coordsize="0,21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" path="m,l,215900e" filled="f" strokecolor="#6b7280" strokeweight=".57pt">
                  <v:stroke miterlimit="83231f" joinstyle="miter" endcap="square"/>
                  <v:path arrowok="t" textboxrect="0,0,0,215900"/>
                </v:shape>
                <v:shape id="Shape 343" o:spid="_x0000_s1068" style="position:absolute;left:10800;top:20159;width:1800;height:719;visibility:visible;mso-wrap-style:square;v-text-anchor:top" coordsize="180086,71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" path="m,l180086,,90043,71882,,xe" fillcolor="#6b7280" stroked="f" strokeweight="0">
                  <v:stroke miterlimit="83231f" joinstyle="miter" endcap="square"/>
                  <v:path arrowok="t" textboxrect="0,0,180086,71882"/>
                </v:shape>
                <w10:anchorlock/>
              </v:group>
            </w:pict>
          </mc:Fallback>
        </mc:AlternateContent>
      </w:r>
    </w:p>
    <w:p w14:paraId="0335D264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7CA0469D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4B6B5103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4A3FC6EA" w14:textId="77777777" w:rsidR="000041C0" w:rsidRDefault="000041C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50582AD5" w14:textId="6F0FBFD8" w:rsidR="00B0331F" w:rsidRDefault="00000000">
      <w:pPr>
        <w:spacing w:after="3"/>
        <w:ind w:left="-5" w:hanging="10"/>
        <w:rPr>
          <w:rFonts w:ascii="Arial" w:eastAsia="Arial" w:hAnsi="Arial" w:cs="Arial"/>
          <w:b/>
          <w:color w:val="091164"/>
          <w:sz w:val="24"/>
        </w:rPr>
      </w:pPr>
      <w:r>
        <w:rPr>
          <w:rFonts w:ascii="Arial" w:eastAsia="Arial" w:hAnsi="Arial" w:cs="Arial"/>
          <w:b/>
          <w:color w:val="091164"/>
          <w:sz w:val="24"/>
        </w:rPr>
        <w:t>Integration Methods</w:t>
      </w:r>
    </w:p>
    <w:p w14:paraId="1F4B5307" w14:textId="77777777" w:rsidR="000041C0" w:rsidRDefault="000041C0">
      <w:pPr>
        <w:spacing w:after="3"/>
        <w:ind w:left="-5" w:hanging="10"/>
      </w:pPr>
    </w:p>
    <w:tbl>
      <w:tblPr>
        <w:tblStyle w:val="TableGrid"/>
        <w:tblW w:w="10772" w:type="dxa"/>
        <w:tblInd w:w="-57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55"/>
        <w:gridCol w:w="1701"/>
        <w:gridCol w:w="1814"/>
        <w:gridCol w:w="5102"/>
      </w:tblGrid>
      <w:tr w:rsidR="00B0331F" w14:paraId="217915F8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1701BD2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Data Type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24E83D74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Method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7C8A4FC6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Frequency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1234774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Rationale</w:t>
            </w:r>
          </w:p>
        </w:tc>
      </w:tr>
      <w:tr w:rsidR="00B0331F" w14:paraId="450604AA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D4C82F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Account (Parent + Sub)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B4A111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Batch (S3)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37E1F0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Daily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87A406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Low change frequency. Proven and low-risk.</w:t>
            </w:r>
          </w:p>
        </w:tc>
      </w:tr>
      <w:tr w:rsidR="00B0331F" w14:paraId="2B0CF22A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2EDC5A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Customer Updates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6C44D9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API (real-time)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3E277D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On create/update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21C845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Auto-generated summaries. Timeliness matters.</w:t>
            </w:r>
          </w:p>
        </w:tc>
      </w:tr>
      <w:tr w:rsidR="00B0331F" w14:paraId="5E8863E9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AB30DD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Contact / User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22625F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Batch (S3)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C8AD45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Daily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501BBA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Low change frequency.</w:t>
            </w:r>
          </w:p>
        </w:tc>
      </w:tr>
      <w:tr w:rsidR="00B0331F" w14:paraId="4FC51213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6DB9B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Blocker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97958D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API (real-time)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F515FD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On create/update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FD7402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Immediacy needed. Delay causes duplication.</w:t>
            </w:r>
          </w:p>
        </w:tc>
      </w:tr>
      <w:tr w:rsidR="00B0331F" w14:paraId="62BD54D0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653510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Success Criteria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55913A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API (real-time)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5539C6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On create/update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03A4C24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Active during engagements.</w:t>
            </w:r>
          </w:p>
        </w:tc>
      </w:tr>
      <w:tr w:rsidR="00B0331F" w14:paraId="2F2E2228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6B8C8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Product Adoption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CFBC0A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Batch (S3)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11AD92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Daily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E098B3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Milestone data, not time-critical.</w:t>
            </w:r>
          </w:p>
        </w:tc>
      </w:tr>
      <w:tr w:rsidR="00B0331F" w14:paraId="4106E017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7E1315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Task / Activity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52DF9F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API (real-time)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FDC71F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On create/update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070E0C9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Cross-functional coordination.</w:t>
            </w:r>
          </w:p>
        </w:tc>
      </w:tr>
      <w:tr w:rsidR="00B0331F" w14:paraId="2F4C2668" w14:textId="77777777">
        <w:trPr>
          <w:trHeight w:val="397"/>
        </w:trPr>
        <w:tc>
          <w:tcPr>
            <w:tcW w:w="2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CFB24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Case Feed</w:t>
            </w:r>
          </w:p>
        </w:tc>
        <w:tc>
          <w:tcPr>
            <w:tcW w:w="17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F6A15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Batch (S3)</w:t>
            </w:r>
          </w:p>
        </w:tc>
        <w:tc>
          <w:tcPr>
            <w:tcW w:w="181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9992B4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Daily</w:t>
            </w:r>
          </w:p>
        </w:tc>
        <w:tc>
          <w:tcPr>
            <w:tcW w:w="510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41E090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Historical context.</w:t>
            </w:r>
          </w:p>
        </w:tc>
      </w:tr>
    </w:tbl>
    <w:p w14:paraId="36776D24" w14:textId="77777777" w:rsidR="000041C0" w:rsidRDefault="000041C0">
      <w:pPr>
        <w:spacing w:after="115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176A42B8" w14:textId="0BBEEC2F" w:rsidR="00B0331F" w:rsidRDefault="00000000">
      <w:pPr>
        <w:spacing w:after="11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Authentication &amp; Connectivity</w:t>
      </w:r>
    </w:p>
    <w:p w14:paraId="628E45A3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Gainsight team will provide:</w:t>
      </w:r>
    </w:p>
    <w:p w14:paraId="07127248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API documentation (endpoints, schemas, rate limits, error handling)</w:t>
      </w:r>
    </w:p>
    <w:p w14:paraId="69B6F57E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Authentication method and credentials (API key, OAuth, SSO - TBC)</w:t>
      </w:r>
    </w:p>
    <w:p w14:paraId="2AF4CB9A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S3 bucket configuration for batch data exchange</w:t>
      </w:r>
    </w:p>
    <w:p w14:paraId="0C338AD8" w14:textId="77777777" w:rsidR="00B0331F" w:rsidRDefault="00000000">
      <w:pPr>
        <w:numPr>
          <w:ilvl w:val="0"/>
          <w:numId w:val="2"/>
        </w:numPr>
        <w:spacing w:after="207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Sandbox / test environment access for POC</w:t>
      </w:r>
    </w:p>
    <w:p w14:paraId="30624747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CLARA team will provide:</w:t>
      </w:r>
    </w:p>
    <w:p w14:paraId="45553B38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CLARA API specification (REST endpoints for all in-scope objects)</w:t>
      </w:r>
    </w:p>
    <w:p w14:paraId="71CDB7AC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Authentication details for CLARA's API</w:t>
      </w:r>
    </w:p>
    <w:p w14:paraId="7C0C23A3" w14:textId="77777777" w:rsidR="00B0331F" w:rsidRDefault="00000000">
      <w:pPr>
        <w:numPr>
          <w:ilvl w:val="0"/>
          <w:numId w:val="2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Data mapping document (Gainsight field -&gt; CLARA field + transformations)</w:t>
      </w:r>
    </w:p>
    <w:p w14:paraId="78C0229E" w14:textId="77777777" w:rsidR="00B0331F" w:rsidRDefault="00000000">
      <w:pPr>
        <w:numPr>
          <w:ilvl w:val="0"/>
          <w:numId w:val="2"/>
        </w:numPr>
        <w:spacing w:after="207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Test environment access</w:t>
      </w:r>
    </w:p>
    <w:p w14:paraId="7DFCF1B8" w14:textId="77777777" w:rsidR="00B0331F" w:rsidRDefault="00000000">
      <w:pPr>
        <w:spacing w:after="146"/>
        <w:ind w:left="-5" w:hanging="10"/>
      </w:pPr>
      <w:r>
        <w:rPr>
          <w:rFonts w:ascii="Arial" w:eastAsia="Arial" w:hAnsi="Arial" w:cs="Arial"/>
          <w:b/>
          <w:color w:val="1F2937"/>
          <w:sz w:val="20"/>
        </w:rPr>
        <w:t>Middleware - App Factory</w:t>
      </w:r>
    </w:p>
    <w:p w14:paraId="6BD21674" w14:textId="77777777" w:rsidR="00B0331F" w:rsidRDefault="0000000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  <w:r>
        <w:rPr>
          <w:rFonts w:ascii="Arial" w:eastAsia="Arial" w:hAnsi="Arial" w:cs="Arial"/>
          <w:color w:val="1F2937"/>
          <w:sz w:val="20"/>
        </w:rPr>
        <w:t>Integration orchestration managed through App Factory (CLARA's AWS infrastructure). Handles API orchestration, retry logic, data transformation, error logging, and rate limiting. Vendor-agnostic - can be adapted if underlying systems change.</w:t>
      </w:r>
    </w:p>
    <w:p w14:paraId="29EBB6C4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76F7B66A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52A670EF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0C2009E8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68881F89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21DD3343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480412BD" w14:textId="77777777" w:rsidR="000041C0" w:rsidRDefault="000041C0">
      <w:pPr>
        <w:spacing w:after="317" w:line="265" w:lineRule="auto"/>
        <w:ind w:left="-5" w:hanging="10"/>
        <w:jc w:val="both"/>
        <w:rPr>
          <w:rFonts w:ascii="Arial" w:eastAsia="Arial" w:hAnsi="Arial" w:cs="Arial"/>
          <w:color w:val="1F2937"/>
          <w:sz w:val="20"/>
        </w:rPr>
      </w:pPr>
    </w:p>
    <w:p w14:paraId="5ABFA2D4" w14:textId="77777777" w:rsidR="000041C0" w:rsidRDefault="000041C0">
      <w:pPr>
        <w:spacing w:after="317" w:line="265" w:lineRule="auto"/>
        <w:ind w:left="-5" w:hanging="10"/>
        <w:jc w:val="both"/>
      </w:pPr>
    </w:p>
    <w:p w14:paraId="75B44EA8" w14:textId="77777777" w:rsidR="00B0331F" w:rsidRDefault="00000000">
      <w:pPr>
        <w:pStyle w:val="Heading1"/>
        <w:ind w:left="341" w:hanging="356"/>
      </w:pPr>
      <w:r>
        <w:t>Responsibilities</w:t>
      </w:r>
    </w:p>
    <w:p w14:paraId="213A803D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3D5C07E9" wp14:editId="0EA84273">
                <wp:extent cx="1440053" cy="28829"/>
                <wp:effectExtent l="0" t="0" r="0" b="0"/>
                <wp:docPr id="9636" name="Group 9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11" name="Shape 14911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6" style="width:113.39pt;height:2.27002pt;mso-position-horizontal-relative:char;mso-position-vertical-relative:line" coordsize="14400,288">
                <v:shape id="Shape 14912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5C566BB7" w14:textId="77777777" w:rsidR="00B0331F" w:rsidRDefault="00000000">
      <w:pPr>
        <w:spacing w:after="13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Gainsight / Business Systems Team Owns:</w:t>
      </w:r>
    </w:p>
    <w:p w14:paraId="7A6F3739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API documentation and access provisioning</w:t>
      </w:r>
    </w:p>
    <w:p w14:paraId="17A68D8E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S3 bucket setup and configuration for batch exports</w:t>
      </w:r>
    </w:p>
    <w:p w14:paraId="6B914033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Sandbox environment for POC</w:t>
      </w:r>
    </w:p>
    <w:p w14:paraId="3E58C689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Data export scheduling and reliability (batch jobs)</w:t>
      </w:r>
    </w:p>
    <w:p w14:paraId="6EC53FB9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Webhook / event configuration for real-time sync</w:t>
      </w:r>
    </w:p>
    <w:p w14:paraId="202A80C3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Data model documentation</w:t>
      </w:r>
    </w:p>
    <w:p w14:paraId="199A89B1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CSM change management and training</w:t>
      </w:r>
    </w:p>
    <w:p w14:paraId="39112693" w14:textId="77777777" w:rsidR="000041C0" w:rsidRPr="000041C0" w:rsidRDefault="00000000">
      <w:pPr>
        <w:numPr>
          <w:ilvl w:val="0"/>
          <w:numId w:val="3"/>
        </w:numPr>
        <w:spacing w:after="77" w:line="383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 xml:space="preserve">Gainsight-side testing and validation </w:t>
      </w:r>
    </w:p>
    <w:p w14:paraId="58A0FE67" w14:textId="748EAC06" w:rsidR="00B0331F" w:rsidRDefault="00000000">
      <w:pPr>
        <w:numPr>
          <w:ilvl w:val="0"/>
          <w:numId w:val="3"/>
        </w:numPr>
        <w:spacing w:after="77" w:line="383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Project management coordination (Nadeem)</w:t>
      </w:r>
    </w:p>
    <w:p w14:paraId="334C8A9D" w14:textId="50021326" w:rsidR="00B0331F" w:rsidRDefault="00000000">
      <w:pPr>
        <w:spacing w:after="13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CLARA Team Owns:</w:t>
      </w:r>
    </w:p>
    <w:p w14:paraId="1A6E70AB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API endpoints for receiving and sending data</w:t>
      </w:r>
    </w:p>
    <w:p w14:paraId="19E51C7A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Data transformation and mapping logic</w:t>
      </w:r>
    </w:p>
    <w:p w14:paraId="05822B52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Storage, indexing, and display of Gainsight-sourced data</w:t>
      </w:r>
    </w:p>
    <w:p w14:paraId="6DC4A8B3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Integration orchestration via App Factory</w:t>
      </w:r>
    </w:p>
    <w:p w14:paraId="2C88D8E9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CLARA-side testing and validation</w:t>
      </w:r>
    </w:p>
    <w:p w14:paraId="18F61C1E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Reporting and dashboards</w:t>
      </w:r>
    </w:p>
    <w:p w14:paraId="1A1EE121" w14:textId="77777777" w:rsidR="000041C0" w:rsidRPr="000041C0" w:rsidRDefault="00000000">
      <w:pPr>
        <w:numPr>
          <w:ilvl w:val="0"/>
          <w:numId w:val="3"/>
        </w:numPr>
        <w:spacing w:after="0" w:line="386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 xml:space="preserve">Technical architecture and infrastructure </w:t>
      </w:r>
    </w:p>
    <w:p w14:paraId="404C73C5" w14:textId="77777777" w:rsidR="000041C0" w:rsidRDefault="000041C0" w:rsidP="000041C0">
      <w:pPr>
        <w:spacing w:after="0" w:line="386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34A16A97" w14:textId="2DAF7C9E" w:rsidR="00B0331F" w:rsidRDefault="00000000" w:rsidP="000041C0">
      <w:pPr>
        <w:spacing w:after="0" w:line="386" w:lineRule="auto"/>
        <w:jc w:val="both"/>
      </w:pPr>
      <w:r>
        <w:rPr>
          <w:rFonts w:ascii="Arial" w:eastAsia="Arial" w:hAnsi="Arial" w:cs="Arial"/>
          <w:b/>
          <w:color w:val="091164"/>
          <w:sz w:val="24"/>
        </w:rPr>
        <w:t>Joint Responsibilities:</w:t>
      </w:r>
    </w:p>
    <w:p w14:paraId="2F82E578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Data mapping agreement</w:t>
      </w:r>
    </w:p>
    <w:p w14:paraId="4BA9F26D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Integration testing (end-to-end)</w:t>
      </w:r>
    </w:p>
    <w:p w14:paraId="51C62486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Error handling and escalation procedures</w:t>
      </w:r>
    </w:p>
    <w:p w14:paraId="39741C38" w14:textId="77777777" w:rsidR="00B0331F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POC evaluation and go/no-go decision</w:t>
      </w:r>
    </w:p>
    <w:p w14:paraId="366B6DA1" w14:textId="77777777" w:rsidR="00B0331F" w:rsidRPr="000041C0" w:rsidRDefault="00000000">
      <w:pPr>
        <w:numPr>
          <w:ilvl w:val="0"/>
          <w:numId w:val="3"/>
        </w:numPr>
        <w:spacing w:after="114" w:line="265" w:lineRule="auto"/>
        <w:ind w:hanging="340"/>
        <w:jc w:val="both"/>
      </w:pPr>
      <w:r>
        <w:rPr>
          <w:rFonts w:ascii="Arial" w:eastAsia="Arial" w:hAnsi="Arial" w:cs="Arial"/>
          <w:color w:val="1F2937"/>
          <w:sz w:val="20"/>
        </w:rPr>
        <w:t>Ongoing monitoring and incident response</w:t>
      </w:r>
    </w:p>
    <w:p w14:paraId="337CB482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08C9FA6D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4D4A42E3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2E82CC60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43E7E855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5D32203E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49ACB321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7AD55D10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12DBCB09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0EBC41B5" w14:textId="77777777" w:rsidR="000041C0" w:rsidRDefault="000041C0" w:rsidP="000041C0">
      <w:pPr>
        <w:spacing w:after="114" w:line="265" w:lineRule="auto"/>
        <w:jc w:val="both"/>
        <w:rPr>
          <w:rFonts w:ascii="Arial" w:eastAsia="Arial" w:hAnsi="Arial" w:cs="Arial"/>
          <w:color w:val="1F2937"/>
          <w:sz w:val="20"/>
        </w:rPr>
      </w:pPr>
    </w:p>
    <w:p w14:paraId="2B49DB98" w14:textId="77777777" w:rsidR="000041C0" w:rsidRDefault="000041C0" w:rsidP="000041C0">
      <w:pPr>
        <w:spacing w:after="114" w:line="265" w:lineRule="auto"/>
        <w:jc w:val="both"/>
      </w:pPr>
    </w:p>
    <w:p w14:paraId="525998CC" w14:textId="77777777" w:rsidR="00B0331F" w:rsidRDefault="00000000">
      <w:pPr>
        <w:pStyle w:val="Heading1"/>
        <w:ind w:left="341" w:hanging="356"/>
      </w:pPr>
      <w:r>
        <w:t>Success Criteria</w:t>
      </w:r>
    </w:p>
    <w:p w14:paraId="5247A5BF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6809F038" wp14:editId="60518842">
                <wp:extent cx="1440053" cy="28829"/>
                <wp:effectExtent l="0" t="0" r="0" b="0"/>
                <wp:docPr id="11369" name="Group 113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15" name="Shape 14915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69" style="width:113.39pt;height:2.27002pt;mso-position-horizontal-relative:char;mso-position-vertical-relative:line" coordsize="14400,288">
                <v:shape id="Shape 14916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21AE6FD9" w14:textId="77777777" w:rsidR="00B0331F" w:rsidRDefault="00000000">
      <w:pPr>
        <w:spacing w:after="13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POC Success Criteria</w:t>
      </w:r>
    </w:p>
    <w:p w14:paraId="3C059B0B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Connectivity proven:</w:t>
      </w:r>
    </w:p>
    <w:p w14:paraId="3E19CC37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CLARA can authenticate with and read from Gainsight API (or consume S3 exports).</w:t>
      </w:r>
    </w:p>
    <w:p w14:paraId="7EBC1DF0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Account sync working:</w:t>
      </w:r>
    </w:p>
    <w:p w14:paraId="11D576BA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At least 10 parent accounts with subsidiaries synced with correct hierarchy.</w:t>
      </w:r>
    </w:p>
    <w:p w14:paraId="45387ED5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Blocker round-trip:</w:t>
      </w:r>
    </w:p>
    <w:p w14:paraId="2366933D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A blocker created in either system appears in the other within 5 minutes.</w:t>
      </w:r>
    </w:p>
    <w:p w14:paraId="312B472E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Data integrity:</w:t>
      </w:r>
    </w:p>
    <w:p w14:paraId="64567624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Synced records match - no data loss, no field truncation, no encoding issues.</w:t>
      </w:r>
    </w:p>
    <w:p w14:paraId="63FF3963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No regression:</w:t>
      </w:r>
    </w:p>
    <w:p w14:paraId="514983E6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CLARA's existing functionality unaffected by integration.</w:t>
      </w:r>
    </w:p>
    <w:p w14:paraId="0C55EED7" w14:textId="77777777" w:rsidR="00B0331F" w:rsidRDefault="00000000">
      <w:pPr>
        <w:numPr>
          <w:ilvl w:val="0"/>
          <w:numId w:val="4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Performance:</w:t>
      </w:r>
    </w:p>
    <w:p w14:paraId="57B8713D" w14:textId="77777777" w:rsidR="00B0331F" w:rsidRDefault="00000000">
      <w:pPr>
        <w:spacing w:after="262"/>
        <w:ind w:left="449" w:hanging="10"/>
      </w:pPr>
      <w:r>
        <w:rPr>
          <w:rFonts w:ascii="Arial" w:eastAsia="Arial" w:hAnsi="Arial" w:cs="Arial"/>
          <w:color w:val="6B7280"/>
          <w:sz w:val="18"/>
        </w:rPr>
        <w:t>API responses under 2 seconds. Batch jobs within agreed windows.</w:t>
      </w:r>
    </w:p>
    <w:p w14:paraId="4C54B785" w14:textId="77777777" w:rsidR="000041C0" w:rsidRDefault="000041C0">
      <w:pPr>
        <w:spacing w:after="135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59DD27C5" w14:textId="38C72EA1" w:rsidR="00B0331F" w:rsidRDefault="00000000">
      <w:pPr>
        <w:spacing w:after="13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Production Success Criteria</w:t>
      </w:r>
    </w:p>
    <w:p w14:paraId="144B9F04" w14:textId="77777777" w:rsidR="00B0331F" w:rsidRDefault="00000000">
      <w:pPr>
        <w:numPr>
          <w:ilvl w:val="0"/>
          <w:numId w:val="5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All Phase 1-3 data objects synchronised per schedule.</w:t>
      </w:r>
    </w:p>
    <w:p w14:paraId="342005E4" w14:textId="77777777" w:rsidR="00B0331F" w:rsidRDefault="00000000">
      <w:pPr>
        <w:numPr>
          <w:ilvl w:val="0"/>
          <w:numId w:val="5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CSMs can enter IRP data in Gainsight and see it in CLARA without manual intervention.</w:t>
      </w:r>
    </w:p>
    <w:p w14:paraId="4B8EC076" w14:textId="77777777" w:rsidR="00B0331F" w:rsidRDefault="00000000">
      <w:pPr>
        <w:numPr>
          <w:ilvl w:val="0"/>
          <w:numId w:val="5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Cross-functional teams can enter data in CLARA and have it visible in Gainsight.</w:t>
      </w:r>
    </w:p>
    <w:p w14:paraId="3E7A5764" w14:textId="77777777" w:rsidR="00B0331F" w:rsidRDefault="00000000">
      <w:pPr>
        <w:numPr>
          <w:ilvl w:val="0"/>
          <w:numId w:val="5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Zero double-entry for objects covered by integration.</w:t>
      </w:r>
    </w:p>
    <w:p w14:paraId="76778013" w14:textId="77777777" w:rsidR="00B0331F" w:rsidRDefault="00000000">
      <w:pPr>
        <w:numPr>
          <w:ilvl w:val="0"/>
          <w:numId w:val="5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CLARA reporting accurately reflects data from both sources.</w:t>
      </w:r>
    </w:p>
    <w:p w14:paraId="6179568E" w14:textId="77777777" w:rsidR="00B0331F" w:rsidRPr="000041C0" w:rsidRDefault="00000000">
      <w:pPr>
        <w:numPr>
          <w:ilvl w:val="0"/>
          <w:numId w:val="5"/>
        </w:numPr>
        <w:spacing w:after="328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Integration uptime of 99.5% during business hours (08:00-18:00 GMT).</w:t>
      </w:r>
    </w:p>
    <w:p w14:paraId="29648331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60B3E0A6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6B934863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7D55B0AE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3F57F6D7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61430E67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7CE96233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7F3C8D66" w14:textId="77777777" w:rsidR="000041C0" w:rsidRDefault="000041C0" w:rsidP="000041C0">
      <w:pPr>
        <w:spacing w:after="328" w:line="265" w:lineRule="auto"/>
        <w:rPr>
          <w:rFonts w:ascii="Arial" w:eastAsia="Arial" w:hAnsi="Arial" w:cs="Arial"/>
          <w:b/>
          <w:color w:val="091164"/>
          <w:sz w:val="20"/>
        </w:rPr>
      </w:pPr>
    </w:p>
    <w:p w14:paraId="76D978A5" w14:textId="77777777" w:rsidR="000041C0" w:rsidRDefault="000041C0" w:rsidP="000041C0">
      <w:pPr>
        <w:spacing w:after="328" w:line="265" w:lineRule="auto"/>
      </w:pPr>
    </w:p>
    <w:p w14:paraId="06FA76F5" w14:textId="77777777" w:rsidR="00B0331F" w:rsidRDefault="00000000">
      <w:pPr>
        <w:pStyle w:val="Heading1"/>
        <w:ind w:left="341" w:hanging="356"/>
      </w:pPr>
      <w:r>
        <w:t>Timeline</w:t>
      </w:r>
    </w:p>
    <w:p w14:paraId="51B241A9" w14:textId="77777777" w:rsidR="00B0331F" w:rsidRDefault="00000000">
      <w:pPr>
        <w:spacing w:after="308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32E525BE" wp14:editId="1BE5B4BB">
                <wp:extent cx="1440053" cy="28829"/>
                <wp:effectExtent l="0" t="0" r="0" b="0"/>
                <wp:docPr id="11370" name="Group 113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19" name="Shape 14919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70" style="width:113.39pt;height:2.26999pt;mso-position-horizontal-relative:char;mso-position-vertical-relative:line" coordsize="14400,288">
                <v:shape id="Shape 14920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6CA6BE33" w14:textId="77777777" w:rsidR="00B0331F" w:rsidRDefault="00000000">
      <w:pPr>
        <w:spacing w:after="3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Proposed Milestones</w:t>
      </w:r>
    </w:p>
    <w:tbl>
      <w:tblPr>
        <w:tblStyle w:val="TableGrid"/>
        <w:tblW w:w="10772" w:type="dxa"/>
        <w:tblInd w:w="-57" w:type="dxa"/>
        <w:tblCellMar>
          <w:top w:w="0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50"/>
        <w:gridCol w:w="4252"/>
        <w:gridCol w:w="1134"/>
        <w:gridCol w:w="4536"/>
      </w:tblGrid>
      <w:tr w:rsidR="00B0331F" w14:paraId="4D286675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3DB9C7E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Phase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2B0F7241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Milestone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0A9EF159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Target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0E9D8C9F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Owner</w:t>
            </w:r>
          </w:p>
        </w:tc>
      </w:tr>
      <w:tr w:rsidR="00B0331F" w14:paraId="0E46BD54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1EF874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0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D254A1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Charter signed off by both teams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A974C8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95F0B7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Azmain / Tina</w:t>
            </w:r>
          </w:p>
        </w:tc>
      </w:tr>
      <w:tr w:rsidR="00B0331F" w14:paraId="70539946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AD9F9B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0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4E804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API documentation shared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9D167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739CC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Rajesh / Shashank</w:t>
            </w:r>
          </w:p>
        </w:tc>
      </w:tr>
      <w:tr w:rsidR="00B0331F" w14:paraId="7B866D39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22BF7B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0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BCBB0F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CLARA API spec shared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050495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319B01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Azmain / BenVH</w:t>
            </w:r>
          </w:p>
        </w:tc>
      </w:tr>
      <w:tr w:rsidR="00B0331F" w14:paraId="6FAA1981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F192D5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0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EDA31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Data mapping agreed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96C1FC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89CBA7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33F4765E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BA1657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1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9BF87E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POC environment setup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3CCE5B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6952D3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67CDF67E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46DB06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1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F14C7A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POC: Account sync + updates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B3CAEB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07297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1708CFAD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376382F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Phase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49564FF2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Milestone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0F45CDD6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Target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03F632D5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Owner</w:t>
            </w:r>
          </w:p>
        </w:tc>
      </w:tr>
      <w:tr w:rsidR="00B0331F" w14:paraId="0032843E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4813DF7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1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D7093E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POC: Real-time blocker sync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2E5C25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35CF51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18FD9C3B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D07E3B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1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2B6B46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POC go/no-go decision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6329C2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E9D060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 + Governance</w:t>
            </w:r>
          </w:p>
        </w:tc>
      </w:tr>
      <w:tr w:rsidR="00B0331F" w14:paraId="5373A11B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45F3AC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2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45FD39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Phase 2 production build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4B45312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87AA0B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1D9F052B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F87DD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3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00BD0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Phase 3 production build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C60B58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520927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  <w:tr w:rsidR="00B0331F" w14:paraId="6B46004D" w14:textId="77777777">
        <w:trPr>
          <w:trHeight w:val="397"/>
        </w:trPr>
        <w:tc>
          <w:tcPr>
            <w:tcW w:w="8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78960FB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4+</w:t>
            </w:r>
          </w:p>
        </w:tc>
        <w:tc>
          <w:tcPr>
            <w:tcW w:w="42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FE6028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Phase 4+ scoping begins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25FBB21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TBD</w:t>
            </w:r>
          </w:p>
        </w:tc>
        <w:tc>
          <w:tcPr>
            <w:tcW w:w="45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43ECB76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Joint</w:t>
            </w:r>
          </w:p>
        </w:tc>
      </w:tr>
    </w:tbl>
    <w:p w14:paraId="786F3F1D" w14:textId="77777777" w:rsidR="000041C0" w:rsidRDefault="000041C0">
      <w:pPr>
        <w:spacing w:after="135"/>
        <w:ind w:left="-5" w:hanging="10"/>
        <w:rPr>
          <w:rFonts w:ascii="Arial" w:eastAsia="Arial" w:hAnsi="Arial" w:cs="Arial"/>
          <w:b/>
          <w:color w:val="091164"/>
          <w:sz w:val="24"/>
        </w:rPr>
      </w:pPr>
    </w:p>
    <w:p w14:paraId="77868826" w14:textId="0FF656DE" w:rsidR="00B0331F" w:rsidRDefault="00000000">
      <w:pPr>
        <w:spacing w:after="135"/>
        <w:ind w:left="-5" w:hanging="10"/>
      </w:pPr>
      <w:r>
        <w:rPr>
          <w:rFonts w:ascii="Arial" w:eastAsia="Arial" w:hAnsi="Arial" w:cs="Arial"/>
          <w:b/>
          <w:color w:val="091164"/>
          <w:sz w:val="24"/>
        </w:rPr>
        <w:t>Governance Checkpoints</w:t>
      </w:r>
    </w:p>
    <w:p w14:paraId="7F221582" w14:textId="77777777" w:rsidR="00B0331F" w:rsidRDefault="00000000">
      <w:pPr>
        <w:numPr>
          <w:ilvl w:val="0"/>
          <w:numId w:val="7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Gate: Charter Approval</w:t>
      </w:r>
    </w:p>
    <w:p w14:paraId="59A0183B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Both teams and governance leads sign off.</w:t>
      </w:r>
    </w:p>
    <w:p w14:paraId="6DCE80F3" w14:textId="77777777" w:rsidR="00B0331F" w:rsidRDefault="00000000">
      <w:pPr>
        <w:numPr>
          <w:ilvl w:val="0"/>
          <w:numId w:val="7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Gate: POC Go/No-Go</w:t>
      </w:r>
    </w:p>
    <w:p w14:paraId="2635CB3D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Based on POC success criteria. All six must be met.</w:t>
      </w:r>
    </w:p>
    <w:p w14:paraId="78C2986E" w14:textId="77777777" w:rsidR="00B0331F" w:rsidRDefault="00000000">
      <w:pPr>
        <w:numPr>
          <w:ilvl w:val="0"/>
          <w:numId w:val="7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Gate: Phase 2 Go/No-Go</w:t>
      </w:r>
    </w:p>
    <w:p w14:paraId="5C5EB9C8" w14:textId="77777777" w:rsidR="00B0331F" w:rsidRDefault="00000000">
      <w:pPr>
        <w:spacing w:after="185"/>
        <w:ind w:left="449" w:hanging="10"/>
      </w:pPr>
      <w:r>
        <w:rPr>
          <w:rFonts w:ascii="Arial" w:eastAsia="Arial" w:hAnsi="Arial" w:cs="Arial"/>
          <w:color w:val="6B7280"/>
          <w:sz w:val="18"/>
        </w:rPr>
        <w:t>Based on POC results and resource availability.</w:t>
      </w:r>
    </w:p>
    <w:p w14:paraId="390A1761" w14:textId="77777777" w:rsidR="00B0331F" w:rsidRDefault="00000000">
      <w:pPr>
        <w:numPr>
          <w:ilvl w:val="0"/>
          <w:numId w:val="7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Gate: Phase 3 Go/No-Go</w:t>
      </w:r>
    </w:p>
    <w:p w14:paraId="532FC964" w14:textId="77777777" w:rsidR="00B0331F" w:rsidRDefault="0000000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  <w:r>
        <w:rPr>
          <w:rFonts w:ascii="Arial" w:eastAsia="Arial" w:hAnsi="Arial" w:cs="Arial"/>
          <w:color w:val="6B7280"/>
          <w:sz w:val="18"/>
        </w:rPr>
        <w:t>Based on Phase 2 stability and remaining scope.</w:t>
      </w:r>
    </w:p>
    <w:p w14:paraId="32FD4F08" w14:textId="77777777" w:rsidR="000041C0" w:rsidRDefault="000041C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</w:p>
    <w:p w14:paraId="7DD826E1" w14:textId="77777777" w:rsidR="000041C0" w:rsidRDefault="000041C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</w:p>
    <w:p w14:paraId="5794B854" w14:textId="77777777" w:rsidR="000041C0" w:rsidRDefault="000041C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</w:p>
    <w:p w14:paraId="153AD2B4" w14:textId="77777777" w:rsidR="000041C0" w:rsidRDefault="000041C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</w:p>
    <w:p w14:paraId="22CB6F26" w14:textId="77777777" w:rsidR="000041C0" w:rsidRDefault="000041C0">
      <w:pPr>
        <w:spacing w:after="343"/>
        <w:ind w:left="449" w:hanging="10"/>
        <w:rPr>
          <w:rFonts w:ascii="Arial" w:eastAsia="Arial" w:hAnsi="Arial" w:cs="Arial"/>
          <w:color w:val="6B7280"/>
          <w:sz w:val="18"/>
        </w:rPr>
      </w:pPr>
    </w:p>
    <w:p w14:paraId="284512A5" w14:textId="77777777" w:rsidR="000041C0" w:rsidRDefault="000041C0">
      <w:pPr>
        <w:spacing w:after="343"/>
        <w:ind w:left="449" w:hanging="10"/>
      </w:pPr>
    </w:p>
    <w:p w14:paraId="6B4DE368" w14:textId="77777777" w:rsidR="00B0331F" w:rsidRDefault="00000000">
      <w:pPr>
        <w:pStyle w:val="Heading1"/>
        <w:ind w:left="519" w:hanging="534"/>
      </w:pPr>
      <w:r>
        <w:lastRenderedPageBreak/>
        <w:t>Risks &amp; Mitigations</w:t>
      </w:r>
    </w:p>
    <w:p w14:paraId="261A0412" w14:textId="77777777" w:rsidR="00B0331F" w:rsidRDefault="00000000">
      <w:pPr>
        <w:spacing w:after="181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56532114" wp14:editId="4E28F07B">
                <wp:extent cx="1440053" cy="28829"/>
                <wp:effectExtent l="0" t="0" r="0" b="0"/>
                <wp:docPr id="13820" name="Group 138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23" name="Shape 14923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20" style="width:113.39pt;height:2.26999pt;mso-position-horizontal-relative:char;mso-position-vertical-relative:line" coordsize="14400,288">
                <v:shape id="Shape 14924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tbl>
      <w:tblPr>
        <w:tblStyle w:val="TableGrid"/>
        <w:tblW w:w="10772" w:type="dxa"/>
        <w:tblInd w:w="-57" w:type="dxa"/>
        <w:tblCellMar>
          <w:top w:w="123" w:type="dxa"/>
          <w:left w:w="5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67"/>
        <w:gridCol w:w="1134"/>
        <w:gridCol w:w="3685"/>
        <w:gridCol w:w="5386"/>
      </w:tblGrid>
      <w:tr w:rsidR="00B0331F" w14:paraId="6CC1F06F" w14:textId="77777777">
        <w:trPr>
          <w:trHeight w:val="397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4F1AE09C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#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52791BE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Severity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6A0F1464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Risk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091164"/>
            <w:vAlign w:val="center"/>
          </w:tcPr>
          <w:p w14:paraId="5F8E2F85" w14:textId="77777777" w:rsidR="00B0331F" w:rsidRDefault="00000000">
            <w:pPr>
              <w:spacing w:after="0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Mitigation</w:t>
            </w:r>
          </w:p>
        </w:tc>
      </w:tr>
      <w:tr w:rsidR="00B0331F" w14:paraId="5F05D29C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6731BA7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79CBA06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HIGH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13D47CB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API limitations prevent real-time sync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59C11314" w14:textId="77777777" w:rsidR="00B0331F" w:rsidRDefault="00000000">
            <w:pPr>
              <w:spacing w:after="0"/>
              <w:ind w:left="57" w:right="46"/>
            </w:pPr>
            <w:r>
              <w:rPr>
                <w:rFonts w:ascii="Arial" w:eastAsia="Arial" w:hAnsi="Arial" w:cs="Arial"/>
                <w:color w:val="1F2937"/>
                <w:sz w:val="18"/>
              </w:rPr>
              <w:t>POC tests real-time capability. Fallback: near-real-time batch (15 min) via S3.</w:t>
            </w:r>
          </w:p>
        </w:tc>
      </w:tr>
      <w:tr w:rsidR="00B0331F" w14:paraId="20CE6ACD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D9D8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417C1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HIGH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841763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Integration diverts CLARA team from migrations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260CDF6" w14:textId="77777777" w:rsidR="00B0331F" w:rsidRDefault="00000000">
            <w:pPr>
              <w:spacing w:after="6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Explicitly secondary to scorecard. Governed fortnightly.</w:t>
            </w:r>
          </w:p>
          <w:p w14:paraId="56CA0FD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Graduates from May.</w:t>
            </w:r>
          </w:p>
        </w:tc>
      </w:tr>
      <w:tr w:rsidR="00B0331F" w14:paraId="7423D10D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29E3EDB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2823B557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MEDIUM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7CF089F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Data model mismatch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2EAC8B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Mapping agreed before build. Transformation centralised in App Factory.</w:t>
            </w:r>
          </w:p>
        </w:tc>
      </w:tr>
      <w:tr w:rsidR="00B0331F" w14:paraId="1F35A9D0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7CA2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4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B1DE6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MEDIUM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ADF8C6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team capacity constrained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B2D983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Timeline accounts for March-April stabilisation. No POC before May.</w:t>
            </w:r>
          </w:p>
        </w:tc>
      </w:tr>
      <w:tr w:rsidR="00B0331F" w14:paraId="22D0F50E" w14:textId="77777777">
        <w:trPr>
          <w:trHeight w:val="397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68C041A3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5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2A3097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MEDIUM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3AE1E3A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Bi-directional sync creates conflicts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39CA594F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Clear ownership rules. Source system wins. Full audit trail.</w:t>
            </w:r>
          </w:p>
        </w:tc>
      </w:tr>
      <w:tr w:rsidR="00B0331F" w14:paraId="2ED9EE59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55ED42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6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7BC848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MEDIUM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BF3AB1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Scope creep into Phase 4+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5A3B452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Phase 4+ deferred. Additions require governance approval + charter amendment.</w:t>
            </w:r>
          </w:p>
        </w:tc>
      </w:tr>
      <w:tr w:rsidR="00B0331F" w14:paraId="4C701116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799990BD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7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13529CA5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MEDIUM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</w:tcPr>
          <w:p w14:paraId="635034B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Low CSM adoption of GS IRP workflows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2F4F8"/>
            <w:vAlign w:val="center"/>
          </w:tcPr>
          <w:p w14:paraId="17024079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GS team owns change management. CLARA provides cross-functional docs.</w:t>
            </w:r>
          </w:p>
        </w:tc>
      </w:tr>
      <w:tr w:rsidR="00B0331F" w14:paraId="4D96A07D" w14:textId="77777777">
        <w:trPr>
          <w:trHeight w:val="680"/>
        </w:trPr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C5C80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8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85565E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LOW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4F3304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Security review delays</w:t>
            </w:r>
          </w:p>
        </w:tc>
        <w:tc>
          <w:tcPr>
            <w:tcW w:w="538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64C2EB" w14:textId="77777777" w:rsidR="00B0331F" w:rsidRDefault="00000000">
            <w:pPr>
              <w:spacing w:after="0"/>
              <w:ind w:left="57"/>
            </w:pPr>
            <w:r>
              <w:rPr>
                <w:rFonts w:ascii="Arial" w:eastAsia="Arial" w:hAnsi="Arial" w:cs="Arial"/>
                <w:color w:val="1F2937"/>
                <w:sz w:val="18"/>
              </w:rPr>
              <w:t>Raise requests early (Phase 0). Both teams engage security in parallel.</w:t>
            </w:r>
          </w:p>
        </w:tc>
      </w:tr>
    </w:tbl>
    <w:p w14:paraId="48E54302" w14:textId="77777777" w:rsidR="000041C0" w:rsidRDefault="000041C0" w:rsidP="000041C0">
      <w:pPr>
        <w:pStyle w:val="Heading1"/>
        <w:numPr>
          <w:ilvl w:val="0"/>
          <w:numId w:val="0"/>
        </w:numPr>
        <w:ind w:left="519"/>
      </w:pPr>
    </w:p>
    <w:p w14:paraId="2697C3A3" w14:textId="13C6B39D" w:rsidR="00B0331F" w:rsidRDefault="00000000">
      <w:pPr>
        <w:pStyle w:val="Heading1"/>
        <w:ind w:left="519" w:hanging="534"/>
      </w:pPr>
      <w:r>
        <w:t>Change Control</w:t>
      </w:r>
    </w:p>
    <w:p w14:paraId="27391118" w14:textId="77777777" w:rsidR="00B0331F" w:rsidRDefault="00000000">
      <w:pPr>
        <w:spacing w:after="239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139E6DF6" wp14:editId="3FED3096">
                <wp:extent cx="1440053" cy="28829"/>
                <wp:effectExtent l="0" t="0" r="0" b="0"/>
                <wp:docPr id="13821" name="Group 138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27" name="Shape 14927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821" style="width:113.39pt;height:2.27002pt;mso-position-horizontal-relative:char;mso-position-vertical-relative:line" coordsize="14400,288">
                <v:shape id="Shape 14928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53518721" w14:textId="77777777" w:rsidR="00B0331F" w:rsidRDefault="00000000">
      <w:pPr>
        <w:spacing w:after="163" w:line="265" w:lineRule="auto"/>
        <w:ind w:left="-5" w:hanging="10"/>
        <w:jc w:val="both"/>
      </w:pPr>
      <w:r>
        <w:rPr>
          <w:rFonts w:ascii="Arial" w:eastAsia="Arial" w:hAnsi="Arial" w:cs="Arial"/>
          <w:color w:val="1F2937"/>
          <w:sz w:val="20"/>
        </w:rPr>
        <w:t>Any changes to scope, timeline, or responsibilities must:</w:t>
      </w:r>
    </w:p>
    <w:p w14:paraId="79B9ECC7" w14:textId="77777777" w:rsidR="00B0331F" w:rsidRDefault="00000000">
      <w:pPr>
        <w:numPr>
          <w:ilvl w:val="0"/>
          <w:numId w:val="8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Be raised in writing (email or shared document comment)</w:t>
      </w:r>
    </w:p>
    <w:p w14:paraId="6CBD8ECB" w14:textId="77777777" w:rsidR="00B0331F" w:rsidRDefault="00000000">
      <w:pPr>
        <w:numPr>
          <w:ilvl w:val="0"/>
          <w:numId w:val="8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Be reviewed at the next fortnightly governance session</w:t>
      </w:r>
    </w:p>
    <w:p w14:paraId="3F1BEF5E" w14:textId="77777777" w:rsidR="00B0331F" w:rsidRDefault="00000000">
      <w:pPr>
        <w:numPr>
          <w:ilvl w:val="0"/>
          <w:numId w:val="8"/>
        </w:numPr>
        <w:spacing w:after="17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Be agreed by both CLARA lead (Azmain) and Gainsight lead (Tina)</w:t>
      </w:r>
    </w:p>
    <w:p w14:paraId="2DBAB919" w14:textId="77777777" w:rsidR="00B0331F" w:rsidRDefault="00000000">
      <w:pPr>
        <w:numPr>
          <w:ilvl w:val="0"/>
          <w:numId w:val="8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Be approved by governance (Natalia Orzechowska)</w:t>
      </w:r>
    </w:p>
    <w:p w14:paraId="6F5BC6A7" w14:textId="77777777" w:rsidR="00B0331F" w:rsidRDefault="00000000">
      <w:pPr>
        <w:numPr>
          <w:ilvl w:val="0"/>
          <w:numId w:val="8"/>
        </w:numPr>
        <w:spacing w:after="292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Be documented as a charter amendment with version and date</w:t>
      </w:r>
    </w:p>
    <w:p w14:paraId="147C069A" w14:textId="7515F545" w:rsidR="000041C0" w:rsidRPr="000041C0" w:rsidRDefault="00000000" w:rsidP="000041C0">
      <w:pPr>
        <w:shd w:val="clear" w:color="auto" w:fill="FEE2E2"/>
        <w:spacing w:after="751"/>
        <w:ind w:left="283"/>
        <w:rPr>
          <w:rFonts w:ascii="Arial" w:eastAsia="Arial" w:hAnsi="Arial" w:cs="Arial"/>
          <w:b/>
          <w:color w:val="991B1B"/>
          <w:sz w:val="20"/>
        </w:rPr>
      </w:pPr>
      <w:r>
        <w:rPr>
          <w:rFonts w:ascii="Arial" w:eastAsia="Arial" w:hAnsi="Arial" w:cs="Arial"/>
          <w:b/>
          <w:color w:val="991B1B"/>
          <w:sz w:val="20"/>
        </w:rPr>
        <w:t>No work outside the defined scope will be undertaken without an approved charter amendment.</w:t>
      </w:r>
    </w:p>
    <w:p w14:paraId="5131EA0C" w14:textId="77777777" w:rsidR="000041C0" w:rsidRDefault="000041C0" w:rsidP="000041C0">
      <w:pPr>
        <w:pStyle w:val="Heading1"/>
        <w:numPr>
          <w:ilvl w:val="0"/>
          <w:numId w:val="0"/>
        </w:numPr>
        <w:ind w:left="519"/>
      </w:pPr>
    </w:p>
    <w:p w14:paraId="036B060D" w14:textId="77777777" w:rsidR="000041C0" w:rsidRDefault="000041C0" w:rsidP="000041C0"/>
    <w:p w14:paraId="4846FCC9" w14:textId="77777777" w:rsidR="000041C0" w:rsidRPr="000041C0" w:rsidRDefault="000041C0" w:rsidP="000041C0"/>
    <w:p w14:paraId="4CD7F45F" w14:textId="77777777" w:rsidR="000041C0" w:rsidRDefault="000041C0" w:rsidP="000041C0">
      <w:pPr>
        <w:pStyle w:val="Heading1"/>
        <w:numPr>
          <w:ilvl w:val="0"/>
          <w:numId w:val="0"/>
        </w:numPr>
        <w:ind w:left="519"/>
      </w:pPr>
    </w:p>
    <w:p w14:paraId="025657DB" w14:textId="02ECADE6" w:rsidR="00B0331F" w:rsidRDefault="00000000">
      <w:pPr>
        <w:pStyle w:val="Heading1"/>
        <w:ind w:left="519" w:hanging="534"/>
      </w:pPr>
      <w:r>
        <w:t>Assumptions</w:t>
      </w:r>
    </w:p>
    <w:p w14:paraId="45751D69" w14:textId="77777777" w:rsidR="00B0331F" w:rsidRDefault="00000000">
      <w:pPr>
        <w:spacing w:after="240"/>
        <w:ind w:left="-57"/>
      </w:pPr>
      <w:r>
        <w:rPr>
          <w:noProof/>
        </w:rPr>
        <mc:AlternateContent>
          <mc:Choice Requires="wpg">
            <w:drawing>
              <wp:inline distT="0" distB="0" distL="0" distR="0" wp14:anchorId="096DC981" wp14:editId="53D819A0">
                <wp:extent cx="1440053" cy="28829"/>
                <wp:effectExtent l="0" t="0" r="0" b="0"/>
                <wp:docPr id="9796" name="Group 9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0053" cy="28829"/>
                          <a:chOff x="0" y="0"/>
                          <a:chExt cx="1440053" cy="28829"/>
                        </a:xfrm>
                      </wpg:grpSpPr>
                      <wps:wsp>
                        <wps:cNvPr id="14931" name="Shape 14931"/>
                        <wps:cNvSpPr/>
                        <wps:spPr>
                          <a:xfrm>
                            <a:off x="0" y="0"/>
                            <a:ext cx="1440053" cy="288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53" h="28829">
                                <a:moveTo>
                                  <a:pt x="0" y="0"/>
                                </a:moveTo>
                                <a:lnTo>
                                  <a:pt x="1440053" y="0"/>
                                </a:lnTo>
                                <a:lnTo>
                                  <a:pt x="1440053" y="28829"/>
                                </a:lnTo>
                                <a:lnTo>
                                  <a:pt x="0" y="2882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sq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5E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796" style="width:113.39pt;height:2.27002pt;mso-position-horizontal-relative:char;mso-position-vertical-relative:line" coordsize="14400,288">
                <v:shape id="Shape 14932" style="position:absolute;width:14400;height:288;left:0;top:0;" coordsize="1440053,28829" path="m0,0l1440053,0l1440053,28829l0,28829l0,0">
                  <v:stroke weight="0pt" endcap="square" joinstyle="miter" miterlimit="10" on="false" color="#000000" opacity="0"/>
                  <v:fill on="true" color="#005eff"/>
                </v:shape>
              </v:group>
            </w:pict>
          </mc:Fallback>
        </mc:AlternateContent>
      </w:r>
    </w:p>
    <w:p w14:paraId="38F62F79" w14:textId="77777777" w:rsidR="00B0331F" w:rsidRDefault="00000000">
      <w:pPr>
        <w:numPr>
          <w:ilvl w:val="0"/>
          <w:numId w:val="9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Gainsight will have stable API and S3 export capabilities available for the POC.</w:t>
      </w:r>
    </w:p>
    <w:p w14:paraId="5787F5C5" w14:textId="77777777" w:rsidR="00B0331F" w:rsidRDefault="00000000">
      <w:pPr>
        <w:numPr>
          <w:ilvl w:val="0"/>
          <w:numId w:val="9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The Gainsight team will provide dedicated technical resource (Rajesh/Shashank).</w:t>
      </w:r>
    </w:p>
    <w:p w14:paraId="15EC64FB" w14:textId="77777777" w:rsidR="00B0331F" w:rsidRDefault="00000000">
      <w:pPr>
        <w:numPr>
          <w:ilvl w:val="0"/>
          <w:numId w:val="9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CLARA's AWS infrastructure (App Factory) can support integration middleware.</w:t>
      </w:r>
    </w:p>
    <w:p w14:paraId="28EA9F91" w14:textId="77777777" w:rsidR="00B0331F" w:rsidRDefault="00000000">
      <w:pPr>
        <w:numPr>
          <w:ilvl w:val="0"/>
          <w:numId w:val="9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Both teams will have sandbox/test environments mirroring production.</w:t>
      </w:r>
    </w:p>
    <w:p w14:paraId="4BF841DC" w14:textId="77777777" w:rsidR="00B0331F" w:rsidRDefault="00000000">
      <w:pPr>
        <w:numPr>
          <w:ilvl w:val="0"/>
          <w:numId w:val="9"/>
        </w:numPr>
        <w:spacing w:after="170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CSMs will have been trained on IRP data entry in Gainsight before go-live.</w:t>
      </w:r>
    </w:p>
    <w:p w14:paraId="0E037A01" w14:textId="77777777" w:rsidR="00B0331F" w:rsidRDefault="00000000">
      <w:pPr>
        <w:numPr>
          <w:ilvl w:val="0"/>
          <w:numId w:val="9"/>
        </w:numPr>
        <w:spacing w:after="513" w:line="265" w:lineRule="auto"/>
        <w:ind w:hanging="454"/>
      </w:pPr>
      <w:r>
        <w:rPr>
          <w:rFonts w:ascii="Arial" w:eastAsia="Arial" w:hAnsi="Arial" w:cs="Arial"/>
          <w:b/>
          <w:color w:val="091164"/>
          <w:sz w:val="20"/>
        </w:rPr>
        <w:t>Salesforce data continues to flow into Gainsight and does not need independent sourcing by CLARA.</w:t>
      </w:r>
    </w:p>
    <w:p w14:paraId="366C2D1D" w14:textId="77777777" w:rsidR="00B0331F" w:rsidRDefault="00000000">
      <w:pPr>
        <w:shd w:val="clear" w:color="auto" w:fill="F2F4F8"/>
        <w:spacing w:after="4"/>
        <w:ind w:left="278" w:hanging="10"/>
      </w:pPr>
      <w:r>
        <w:rPr>
          <w:rFonts w:ascii="Arial" w:eastAsia="Arial" w:hAnsi="Arial" w:cs="Arial"/>
          <w:i/>
          <w:color w:val="6B7280"/>
          <w:sz w:val="18"/>
        </w:rPr>
        <w:t>This charter is a living document.</w:t>
      </w:r>
    </w:p>
    <w:p w14:paraId="6F0B8694" w14:textId="77777777" w:rsidR="00B0331F" w:rsidRDefault="00000000">
      <w:pPr>
        <w:shd w:val="clear" w:color="auto" w:fill="F2F4F8"/>
        <w:spacing w:after="4"/>
        <w:ind w:left="278" w:hanging="10"/>
      </w:pPr>
      <w:r>
        <w:rPr>
          <w:rFonts w:ascii="Arial" w:eastAsia="Arial" w:hAnsi="Arial" w:cs="Arial"/>
          <w:i/>
          <w:color w:val="6B7280"/>
          <w:sz w:val="18"/>
        </w:rPr>
        <w:t>Version 1.0  |  13 March 2026  |  Azmain Hossain  |  Initial draft</w:t>
      </w:r>
    </w:p>
    <w:sectPr w:rsidR="00B033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20" w:right="624" w:bottom="1231" w:left="624" w:header="720" w:footer="48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1CA6D" w14:textId="77777777" w:rsidR="005A1595" w:rsidRDefault="005A1595">
      <w:pPr>
        <w:spacing w:after="0" w:line="240" w:lineRule="auto"/>
      </w:pPr>
      <w:r>
        <w:separator/>
      </w:r>
    </w:p>
  </w:endnote>
  <w:endnote w:type="continuationSeparator" w:id="0">
    <w:p w14:paraId="7D8E3C2E" w14:textId="77777777" w:rsidR="005A1595" w:rsidRDefault="005A15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D6911" w14:textId="77777777" w:rsidR="00B0331F" w:rsidRDefault="00000000">
    <w:pPr>
      <w:spacing w:after="0"/>
      <w:jc w:val="right"/>
    </w:pPr>
    <w:r>
      <w:rPr>
        <w:rFonts w:ascii="Arial" w:eastAsia="Arial" w:hAnsi="Arial" w:cs="Arial"/>
        <w:color w:val="6B7280"/>
        <w:sz w:val="16"/>
      </w:rPr>
      <w:t xml:space="preserve">CLARA-Gainsight Integration Charter  |  DRAFT  |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B7280"/>
        <w:sz w:val="16"/>
      </w:rPr>
      <w:t>1</w:t>
    </w:r>
    <w:r>
      <w:rPr>
        <w:rFonts w:ascii="Arial" w:eastAsia="Arial" w:hAnsi="Arial" w:cs="Arial"/>
        <w:color w:val="6B7280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D7A5A" w14:textId="77777777" w:rsidR="00B0331F" w:rsidRDefault="00000000">
    <w:pPr>
      <w:spacing w:after="0"/>
      <w:jc w:val="right"/>
    </w:pPr>
    <w:r>
      <w:rPr>
        <w:rFonts w:ascii="Arial" w:eastAsia="Arial" w:hAnsi="Arial" w:cs="Arial"/>
        <w:color w:val="6B7280"/>
        <w:sz w:val="16"/>
      </w:rPr>
      <w:t xml:space="preserve">CLARA-Gainsight Integration Charter  |  DRAFT  |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B7280"/>
        <w:sz w:val="16"/>
      </w:rPr>
      <w:t>1</w:t>
    </w:r>
    <w:r>
      <w:rPr>
        <w:rFonts w:ascii="Arial" w:eastAsia="Arial" w:hAnsi="Arial" w:cs="Arial"/>
        <w:color w:val="6B7280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972AA" w14:textId="77777777" w:rsidR="00B0331F" w:rsidRDefault="00000000">
    <w:pPr>
      <w:spacing w:after="0"/>
      <w:jc w:val="right"/>
    </w:pPr>
    <w:r>
      <w:rPr>
        <w:rFonts w:ascii="Arial" w:eastAsia="Arial" w:hAnsi="Arial" w:cs="Arial"/>
        <w:color w:val="6B7280"/>
        <w:sz w:val="16"/>
      </w:rPr>
      <w:t xml:space="preserve">CLARA-Gainsight Integration Charter  |  DRAFT  |  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6B7280"/>
        <w:sz w:val="16"/>
      </w:rPr>
      <w:t>1</w:t>
    </w:r>
    <w:r>
      <w:rPr>
        <w:rFonts w:ascii="Arial" w:eastAsia="Arial" w:hAnsi="Arial" w:cs="Arial"/>
        <w:color w:val="6B72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FE710" w14:textId="77777777" w:rsidR="005A1595" w:rsidRDefault="005A1595">
      <w:pPr>
        <w:spacing w:after="0" w:line="240" w:lineRule="auto"/>
      </w:pPr>
      <w:r>
        <w:separator/>
      </w:r>
    </w:p>
  </w:footnote>
  <w:footnote w:type="continuationSeparator" w:id="0">
    <w:p w14:paraId="1F8ED7F5" w14:textId="77777777" w:rsidR="005A1595" w:rsidRDefault="005A15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62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B0331F" w14:paraId="4007B95C" w14:textId="77777777">
      <w:trPr>
        <w:trHeight w:val="702"/>
      </w:trPr>
      <w:tc>
        <w:tcPr>
          <w:tcW w:w="11906" w:type="dxa"/>
          <w:tcBorders>
            <w:top w:val="nil"/>
            <w:left w:val="nil"/>
            <w:bottom w:val="single" w:sz="23" w:space="0" w:color="005EFF"/>
            <w:right w:val="nil"/>
          </w:tcBorders>
          <w:shd w:val="clear" w:color="auto" w:fill="091164"/>
          <w:vAlign w:val="center"/>
        </w:tcPr>
        <w:p w14:paraId="5A4FBCB8" w14:textId="77777777" w:rsidR="00B0331F" w:rsidRDefault="00000000">
          <w:pPr>
            <w:spacing w:after="0"/>
          </w:pPr>
          <w:r>
            <w:rPr>
              <w:rFonts w:ascii="Arial" w:eastAsia="Arial" w:hAnsi="Arial" w:cs="Arial"/>
              <w:b/>
              <w:color w:val="FFFFFF"/>
              <w:sz w:val="16"/>
            </w:rPr>
            <w:t>CLARA-Gainsight Integration Charter  |  v1.0 Draft  |  13 March 2026</w:t>
          </w:r>
        </w:p>
      </w:tc>
    </w:tr>
  </w:tbl>
  <w:p w14:paraId="035EC216" w14:textId="77777777" w:rsidR="00B0331F" w:rsidRDefault="00B0331F">
    <w:pPr>
      <w:spacing w:after="0"/>
      <w:ind w:left="-624" w:right="1128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/>
      <w:tblOverlap w:val="never"/>
      <w:tblW w:w="11906" w:type="dxa"/>
      <w:tblInd w:w="0" w:type="dxa"/>
      <w:tblCellMar>
        <w:top w:w="0" w:type="dxa"/>
        <w:left w:w="624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1906"/>
    </w:tblGrid>
    <w:tr w:rsidR="00B0331F" w14:paraId="12F810E5" w14:textId="77777777">
      <w:trPr>
        <w:trHeight w:val="702"/>
      </w:trPr>
      <w:tc>
        <w:tcPr>
          <w:tcW w:w="11906" w:type="dxa"/>
          <w:tcBorders>
            <w:top w:val="nil"/>
            <w:left w:val="nil"/>
            <w:bottom w:val="single" w:sz="23" w:space="0" w:color="005EFF"/>
            <w:right w:val="nil"/>
          </w:tcBorders>
          <w:shd w:val="clear" w:color="auto" w:fill="091164"/>
          <w:vAlign w:val="center"/>
        </w:tcPr>
        <w:p w14:paraId="288860D8" w14:textId="77777777" w:rsidR="00B0331F" w:rsidRDefault="00000000">
          <w:pPr>
            <w:spacing w:after="0"/>
          </w:pPr>
          <w:r>
            <w:rPr>
              <w:rFonts w:ascii="Arial" w:eastAsia="Arial" w:hAnsi="Arial" w:cs="Arial"/>
              <w:b/>
              <w:color w:val="FFFFFF"/>
              <w:sz w:val="16"/>
            </w:rPr>
            <w:t>CLARA-Gainsight Integration Charter  |  v1.0 Draft  |  13 March 2026</w:t>
          </w:r>
        </w:p>
      </w:tc>
    </w:tr>
  </w:tbl>
  <w:p w14:paraId="51ACCD2C" w14:textId="77777777" w:rsidR="00B0331F" w:rsidRDefault="00B0331F">
    <w:pPr>
      <w:spacing w:after="0"/>
      <w:ind w:left="-624" w:right="1128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04777" w14:textId="77777777" w:rsidR="00B0331F" w:rsidRDefault="00B0331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14EA1"/>
    <w:multiLevelType w:val="hybridMultilevel"/>
    <w:tmpl w:val="862828A6"/>
    <w:lvl w:ilvl="0" w:tplc="DEDA10DA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9A2B5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B00F60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4CD74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E0EE2A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E489E4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C09D7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7EC2BD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EA63C8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2024F7E"/>
    <w:multiLevelType w:val="hybridMultilevel"/>
    <w:tmpl w:val="C1427FC4"/>
    <w:lvl w:ilvl="0" w:tplc="DFFA146A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C66AC7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CF4A2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BE47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A3247F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30049B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562C3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F680A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9204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5500E"/>
    <w:multiLevelType w:val="hybridMultilevel"/>
    <w:tmpl w:val="D6423048"/>
    <w:lvl w:ilvl="0" w:tplc="BC7693A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97E6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1E2423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C4C2BCE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0EC8894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C3B8183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A0569CC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169A54A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6F4AC8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91164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D3259E"/>
    <w:multiLevelType w:val="hybridMultilevel"/>
    <w:tmpl w:val="938A97B4"/>
    <w:lvl w:ilvl="0" w:tplc="48925FAE">
      <w:start w:val="1"/>
      <w:numFmt w:val="bullet"/>
      <w:lvlText w:val="-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8CED64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2C6D2B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C68A8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C90700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E5C60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BA96D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4C6606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ABEC44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D8711A"/>
    <w:multiLevelType w:val="hybridMultilevel"/>
    <w:tmpl w:val="70D876CA"/>
    <w:lvl w:ilvl="0" w:tplc="8B0E0B8C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F847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70944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23C696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B3C4F3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F6C3F4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AC4539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3C6B55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F0C0C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E73C1"/>
    <w:multiLevelType w:val="hybridMultilevel"/>
    <w:tmpl w:val="05D656BA"/>
    <w:lvl w:ilvl="0" w:tplc="A29CA8A2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A70B31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02EDE5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F808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0C2A7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F60DF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8CA320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FEC8C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E0C5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34D0355"/>
    <w:multiLevelType w:val="hybridMultilevel"/>
    <w:tmpl w:val="0A5A7120"/>
    <w:lvl w:ilvl="0" w:tplc="4310343C">
      <w:start w:val="1"/>
      <w:numFmt w:val="bullet"/>
      <w:lvlText w:val="-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DA8A77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CAC2C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916235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02EB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34B6D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68DD9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8EF7F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18053E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B0A1D7D"/>
    <w:multiLevelType w:val="hybridMultilevel"/>
    <w:tmpl w:val="1B446054"/>
    <w:lvl w:ilvl="0" w:tplc="E2EE5E2E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C4AE8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92B11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925B4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AE806A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CE882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8CCD74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7219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00EA14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A46BEE"/>
    <w:multiLevelType w:val="hybridMultilevel"/>
    <w:tmpl w:val="8FC4F944"/>
    <w:lvl w:ilvl="0" w:tplc="36AA931A">
      <w:start w:val="1"/>
      <w:numFmt w:val="bullet"/>
      <w:lvlText w:val="-"/>
      <w:lvlJc w:val="left"/>
      <w:pPr>
        <w:ind w:left="3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42699C2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7A48D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8E17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636DEC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7C8258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8CAD5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F48C3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AED69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1F293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291634C"/>
    <w:multiLevelType w:val="hybridMultilevel"/>
    <w:tmpl w:val="683E7020"/>
    <w:lvl w:ilvl="0" w:tplc="DC9E2702">
      <w:start w:val="1"/>
      <w:numFmt w:val="decimal"/>
      <w:lvlText w:val="%1."/>
      <w:lvlJc w:val="left"/>
      <w:pPr>
        <w:ind w:left="454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BA2CFF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CAC15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726A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9807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44802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72401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8562D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4C0862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 w:val="0"/>
        <w:strike w:val="0"/>
        <w:dstrike w:val="0"/>
        <w:color w:val="005E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68935398">
    <w:abstractNumId w:val="7"/>
  </w:num>
  <w:num w:numId="2" w16cid:durableId="187261781">
    <w:abstractNumId w:val="8"/>
  </w:num>
  <w:num w:numId="3" w16cid:durableId="643658556">
    <w:abstractNumId w:val="3"/>
  </w:num>
  <w:num w:numId="4" w16cid:durableId="773063692">
    <w:abstractNumId w:val="1"/>
  </w:num>
  <w:num w:numId="5" w16cid:durableId="1351295662">
    <w:abstractNumId w:val="5"/>
  </w:num>
  <w:num w:numId="6" w16cid:durableId="27797423">
    <w:abstractNumId w:val="6"/>
  </w:num>
  <w:num w:numId="7" w16cid:durableId="1220366377">
    <w:abstractNumId w:val="4"/>
  </w:num>
  <w:num w:numId="8" w16cid:durableId="1289359778">
    <w:abstractNumId w:val="9"/>
  </w:num>
  <w:num w:numId="9" w16cid:durableId="1500196565">
    <w:abstractNumId w:val="0"/>
  </w:num>
  <w:num w:numId="10" w16cid:durableId="70666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331F"/>
    <w:rsid w:val="000041C0"/>
    <w:rsid w:val="005A1595"/>
    <w:rsid w:val="00B0331F"/>
    <w:rsid w:val="00C6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A7559"/>
  <w15:docId w15:val="{BA1A9A27-AB2A-4F63-93FF-0A8ACC38C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0"/>
      </w:numPr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9116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91164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1602</Words>
  <Characters>9134</Characters>
  <Application>Microsoft Office Word</Application>
  <DocSecurity>0</DocSecurity>
  <Lines>76</Lines>
  <Paragraphs>21</Paragraphs>
  <ScaleCrop>false</ScaleCrop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Azmain Hossain</dc:creator>
  <cp:keywords/>
  <cp:lastModifiedBy>Azmain Hossain</cp:lastModifiedBy>
  <cp:revision>2</cp:revision>
  <dcterms:created xsi:type="dcterms:W3CDTF">2026-03-13T04:35:00Z</dcterms:created>
  <dcterms:modified xsi:type="dcterms:W3CDTF">2026-03-13T04:35:00Z</dcterms:modified>
</cp:coreProperties>
</file>