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2 – STOCK MARKET FUNDAMENTALS &amp; TCS FINANCIAL ANALYSIS</w:t>
      </w:r>
    </w:p>
    <w:p>
      <w:pPr>
        <w:jc w:val="center"/>
      </w:pPr>
      <w:r>
        <w:rPr>
          <w:i/>
          <w:sz w:val="20"/>
        </w:rPr>
        <w:t>Bluestock FinTech Internship | Task 1</w:t>
      </w:r>
    </w:p>
    <w:p>
      <w:r>
        <w:rPr>
          <w:b/>
        </w:rPr>
        <w:t xml:space="preserve">Objective: </w:t>
      </w:r>
      <w:r>
        <w:t xml:space="preserve">Understand basic financial-market concepts and apply them to the financial statements of one listed company. TCS (Tata Consultancy Services Limited) is the selected company; it is listed on NSE under TCS and is also listed on BSE. </w:t>
      </w:r>
    </w:p>
    <w:p>
      <w:pPr>
        <w:pStyle w:val="Heading1"/>
      </w:pPr>
      <w:r>
        <w:t>Part A – One-Page Stock Market Summary</w:t>
      </w:r>
    </w:p>
    <w:p>
      <w:pPr>
        <w:pStyle w:val="ListBullet"/>
        <w:spacing w:after="20"/>
      </w:pPr>
      <w:r>
        <w:rPr>
          <w:b/>
        </w:rPr>
        <w:t xml:space="preserve">Stock Market: </w:t>
      </w:r>
      <w:r>
        <w:t>A marketplace where shares and other securities are bought and sold. It helps companies raise capital and allows investors to trade ownership interests.</w:t>
      </w:r>
    </w:p>
    <w:p>
      <w:pPr>
        <w:pStyle w:val="ListBullet"/>
        <w:spacing w:after="20"/>
      </w:pPr>
      <w:r>
        <w:rPr>
          <w:b/>
        </w:rPr>
        <w:t xml:space="preserve">NSE &amp; BSE: </w:t>
      </w:r>
      <w:r>
        <w:t>National Stock Exchange (NSE) and BSE Ltd. are major Indian stock exchanges where listed securities are traded.</w:t>
      </w:r>
    </w:p>
    <w:p>
      <w:pPr>
        <w:pStyle w:val="ListBullet"/>
        <w:spacing w:after="20"/>
      </w:pPr>
      <w:r>
        <w:rPr>
          <w:b/>
        </w:rPr>
        <w:t xml:space="preserve">Nifty 50 &amp; Sensex: </w:t>
      </w:r>
      <w:r>
        <w:t>Nifty 50 is NSE’s diversified 50-stock benchmark index. Sensex is the flagship benchmark index of BSE.</w:t>
      </w:r>
    </w:p>
    <w:p>
      <w:pPr>
        <w:pStyle w:val="ListBullet"/>
        <w:spacing w:after="20"/>
      </w:pPr>
      <w:r>
        <w:rPr>
          <w:b/>
        </w:rPr>
        <w:t xml:space="preserve">IPO &amp; SME IPO: </w:t>
      </w:r>
      <w:r>
        <w:t>An Initial Public Offering (IPO) is when a company offers shares to the public for the first time. An SME IPO is an IPO for an eligible small/medium enterprise on an SME exchange platform.</w:t>
      </w:r>
    </w:p>
    <w:p>
      <w:pPr>
        <w:pStyle w:val="ListBullet"/>
        <w:spacing w:after="20"/>
      </w:pPr>
      <w:r>
        <w:rPr>
          <w:b/>
        </w:rPr>
        <w:t xml:space="preserve">Market Capitalization: </w:t>
      </w:r>
      <w:r>
        <w:t>The market value of a company’s equity, generally calculated as market price per share × outstanding shares.</w:t>
      </w:r>
    </w:p>
    <w:p>
      <w:pPr>
        <w:pStyle w:val="ListBullet"/>
        <w:spacing w:after="20"/>
      </w:pPr>
      <w:r>
        <w:rPr>
          <w:b/>
        </w:rPr>
        <w:t xml:space="preserve">P/E Ratio: </w:t>
      </w:r>
      <w:r>
        <w:t>Price-to-Earnings ratio = market price per share ÷ EPS. It shows how much the market is valuing each unit of earnings.</w:t>
      </w:r>
    </w:p>
    <w:p>
      <w:pPr>
        <w:pStyle w:val="ListBullet"/>
        <w:spacing w:after="20"/>
      </w:pPr>
      <w:r>
        <w:rPr>
          <w:b/>
        </w:rPr>
        <w:t xml:space="preserve">P/B Ratio: </w:t>
      </w:r>
      <w:r>
        <w:t>Price-to-Book ratio = market price per share ÷ book value per share. It compares market value with accounting equity value.</w:t>
      </w:r>
    </w:p>
    <w:p>
      <w:pPr>
        <w:pStyle w:val="ListBullet"/>
        <w:spacing w:after="20"/>
      </w:pPr>
      <w:r>
        <w:rPr>
          <w:b/>
        </w:rPr>
        <w:t xml:space="preserve">EPS: </w:t>
      </w:r>
      <w:r>
        <w:t>Earnings Per Share measures profit attributable to equity shareholders on a per-share basis.</w:t>
      </w:r>
    </w:p>
    <w:p>
      <w:pPr>
        <w:pStyle w:val="ListBullet"/>
        <w:spacing w:after="20"/>
      </w:pPr>
      <w:r>
        <w:rPr>
          <w:b/>
        </w:rPr>
        <w:t xml:space="preserve">Dividend: </w:t>
      </w:r>
      <w:r>
        <w:t>A distribution of part of a company’s profits to shareholders, generally stated per share.</w:t>
      </w:r>
    </w:p>
    <w:p>
      <w:pPr>
        <w:pStyle w:val="ListBullet"/>
        <w:spacing w:after="20"/>
      </w:pPr>
      <w:r>
        <w:rPr>
          <w:b/>
        </w:rPr>
        <w:t xml:space="preserve">Bonus &amp; Stock Split: </w:t>
      </w:r>
      <w:r>
        <w:t>A bonus issue gives additional shares without cash payment; a stock split increases the number of shares while reducing face value per share proportionately.</w:t>
      </w:r>
    </w:p>
    <w:p>
      <w:pPr>
        <w:pStyle w:val="ListBullet"/>
        <w:spacing w:after="20"/>
      </w:pPr>
      <w:r>
        <w:rPr>
          <w:b/>
        </w:rPr>
        <w:t xml:space="preserve">Trading Volume: </w:t>
      </w:r>
      <w:r>
        <w:t>The number of shares/securities traded during a period; higher volume generally indicates more trading activity.</w:t>
      </w:r>
    </w:p>
    <w:p>
      <w:pPr>
        <w:pStyle w:val="ListBullet"/>
        <w:spacing w:after="20"/>
      </w:pPr>
      <w:r>
        <w:rPr>
          <w:b/>
        </w:rPr>
        <w:t xml:space="preserve">Financial Statements: </w:t>
      </w:r>
      <w:r>
        <w:t>The Balance Sheet shows financial position; the Profit &amp; Loss Statement shows income, expenses and profit; the Cash Flow Statement shows cash generated/used by operating, investing and financing activities.</w:t>
      </w:r>
    </w:p>
    <w:p>
      <w:pPr>
        <w:pStyle w:val="ListBullet"/>
        <w:spacing w:after="20"/>
      </w:pPr>
      <w:r>
        <w:rPr>
          <w:b/>
        </w:rPr>
        <w:t xml:space="preserve">Basic Ratios: </w:t>
      </w:r>
      <w:r>
        <w:t>Examples include Net Profit Margin (profit/revenue), Current Ratio (current assets/current liabilities), and P/E or P/B for market valuation.</w:t>
      </w:r>
    </w:p>
    <w:p>
      <w:pPr>
        <w:pStyle w:val="Heading1"/>
      </w:pPr>
      <w:r>
        <w:t>Part B – TCS Financial Statement Analysis (FY 2025–26)</w:t>
      </w:r>
    </w:p>
    <w:p>
      <w:r>
        <w:rPr>
          <w:b/>
        </w:rPr>
        <w:t xml:space="preserve">Basis: </w:t>
      </w:r>
      <w:r>
        <w:t>Consolidated financial statements for the year ended 31 March 2026, as presented in TCS’s Integrated Annual Report 2025–26. Amounts below are ₹ crore except EPS.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t>Metric</w:t>
            </w:r>
          </w:p>
        </w:tc>
        <w:tc>
          <w:tcPr>
            <w:tcW w:type="dxa" w:w="2592"/>
            <w:shd w:fill="D9EAF7"/>
          </w:tcPr>
          <w:p>
            <w:r>
              <w:t>FY 2024–25</w:t>
            </w:r>
          </w:p>
        </w:tc>
        <w:tc>
          <w:tcPr>
            <w:tcW w:type="dxa" w:w="2592"/>
            <w:shd w:fill="D9EAF7"/>
          </w:tcPr>
          <w:p>
            <w:r>
              <w:t>FY 2025–26</w:t>
            </w:r>
          </w:p>
        </w:tc>
        <w:tc>
          <w:tcPr>
            <w:tcW w:type="dxa" w:w="2592"/>
            <w:shd w:fill="D9EAF7"/>
          </w:tcPr>
          <w:p>
            <w:r>
              <w:t>Change / Observation</w:t>
            </w:r>
          </w:p>
        </w:tc>
      </w:tr>
      <w:tr>
        <w:tc>
          <w:tcPr>
            <w:tcW w:type="dxa" w:w="2592"/>
            <w:vAlign w:val="center"/>
          </w:tcPr>
          <w:p>
            <w:r>
              <w:t>Revenue from operations</w:t>
            </w:r>
          </w:p>
        </w:tc>
        <w:tc>
          <w:tcPr>
            <w:tcW w:type="dxa" w:w="2592"/>
            <w:vAlign w:val="center"/>
          </w:tcPr>
          <w:p>
            <w:r>
              <w:t>2,55,324</w:t>
            </w:r>
          </w:p>
        </w:tc>
        <w:tc>
          <w:tcPr>
            <w:tcW w:type="dxa" w:w="2592"/>
            <w:vAlign w:val="center"/>
          </w:tcPr>
          <w:p>
            <w:r>
              <w:t>2,67,021</w:t>
            </w:r>
          </w:p>
        </w:tc>
        <w:tc>
          <w:tcPr>
            <w:tcW w:type="dxa" w:w="2592"/>
            <w:vAlign w:val="center"/>
          </w:tcPr>
          <w:p>
            <w:r>
              <w:t>+4.6%</w:t>
            </w:r>
          </w:p>
        </w:tc>
      </w:tr>
      <w:tr>
        <w:tc>
          <w:tcPr>
            <w:tcW w:type="dxa" w:w="2592"/>
            <w:vAlign w:val="center"/>
          </w:tcPr>
          <w:p>
            <w:r>
              <w:t>Profit for the year</w:t>
            </w:r>
          </w:p>
        </w:tc>
        <w:tc>
          <w:tcPr>
            <w:tcW w:type="dxa" w:w="2592"/>
            <w:vAlign w:val="center"/>
          </w:tcPr>
          <w:p>
            <w:r>
              <w:t>48,797</w:t>
            </w:r>
          </w:p>
        </w:tc>
        <w:tc>
          <w:tcPr>
            <w:tcW w:type="dxa" w:w="2592"/>
            <w:vAlign w:val="center"/>
          </w:tcPr>
          <w:p>
            <w:r>
              <w:t>49,454</w:t>
            </w:r>
          </w:p>
        </w:tc>
        <w:tc>
          <w:tcPr>
            <w:tcW w:type="dxa" w:w="2592"/>
            <w:vAlign w:val="center"/>
          </w:tcPr>
          <w:p>
            <w:r>
              <w:t>+1.3%</w:t>
            </w:r>
          </w:p>
        </w:tc>
      </w:tr>
      <w:tr>
        <w:tc>
          <w:tcPr>
            <w:tcW w:type="dxa" w:w="2592"/>
            <w:vAlign w:val="center"/>
          </w:tcPr>
          <w:p>
            <w:r>
              <w:t>EPS (₹)</w:t>
            </w:r>
          </w:p>
        </w:tc>
        <w:tc>
          <w:tcPr>
            <w:tcW w:type="dxa" w:w="2592"/>
            <w:vAlign w:val="center"/>
          </w:tcPr>
          <w:p>
            <w:r>
              <w:t>134.19</w:t>
            </w:r>
          </w:p>
        </w:tc>
        <w:tc>
          <w:tcPr>
            <w:tcW w:type="dxa" w:w="2592"/>
            <w:vAlign w:val="center"/>
          </w:tcPr>
          <w:p>
            <w:r>
              <w:t>145.99</w:t>
            </w:r>
          </w:p>
        </w:tc>
        <w:tc>
          <w:tcPr>
            <w:tcW w:type="dxa" w:w="2592"/>
            <w:vAlign w:val="center"/>
          </w:tcPr>
          <w:p>
            <w:r>
              <w:t>Higher</w:t>
            </w:r>
          </w:p>
        </w:tc>
      </w:tr>
      <w:tr>
        <w:tc>
          <w:tcPr>
            <w:tcW w:type="dxa" w:w="2592"/>
            <w:vAlign w:val="center"/>
          </w:tcPr>
          <w:p>
            <w:r>
              <w:t>Total assets</w:t>
            </w:r>
          </w:p>
        </w:tc>
        <w:tc>
          <w:tcPr>
            <w:tcW w:type="dxa" w:w="2592"/>
            <w:vAlign w:val="center"/>
          </w:tcPr>
          <w:p>
            <w:r>
              <w:t>1,59,629</w:t>
            </w:r>
          </w:p>
        </w:tc>
        <w:tc>
          <w:tcPr>
            <w:tcW w:type="dxa" w:w="2592"/>
            <w:vAlign w:val="center"/>
          </w:tcPr>
          <w:p>
            <w:r>
              <w:t>1,82,372</w:t>
            </w:r>
          </w:p>
        </w:tc>
        <w:tc>
          <w:tcPr>
            <w:tcW w:type="dxa" w:w="2592"/>
            <w:vAlign w:val="center"/>
          </w:tcPr>
          <w:p>
            <w:r>
              <w:t>+14.2%</w:t>
            </w:r>
          </w:p>
        </w:tc>
      </w:tr>
      <w:tr>
        <w:tc>
          <w:tcPr>
            <w:tcW w:type="dxa" w:w="2592"/>
            <w:vAlign w:val="center"/>
          </w:tcPr>
          <w:p>
            <w:r>
              <w:t>Total equity</w:t>
            </w:r>
          </w:p>
        </w:tc>
        <w:tc>
          <w:tcPr>
            <w:tcW w:type="dxa" w:w="2592"/>
            <w:vAlign w:val="center"/>
          </w:tcPr>
          <w:p>
            <w:r>
              <w:t>95,771</w:t>
            </w:r>
          </w:p>
        </w:tc>
        <w:tc>
          <w:tcPr>
            <w:tcW w:type="dxa" w:w="2592"/>
            <w:vAlign w:val="center"/>
          </w:tcPr>
          <w:p>
            <w:r>
              <w:t>1,08,478</w:t>
            </w:r>
          </w:p>
        </w:tc>
        <w:tc>
          <w:tcPr>
            <w:tcW w:type="dxa" w:w="2592"/>
            <w:vAlign w:val="center"/>
          </w:tcPr>
          <w:p>
            <w:r>
              <w:t>+13.3%</w:t>
            </w:r>
          </w:p>
        </w:tc>
      </w:tr>
      <w:tr>
        <w:tc>
          <w:tcPr>
            <w:tcW w:type="dxa" w:w="2592"/>
            <w:vAlign w:val="center"/>
          </w:tcPr>
          <w:p>
            <w:r>
              <w:t>Operating cash flow</w:t>
            </w:r>
          </w:p>
        </w:tc>
        <w:tc>
          <w:tcPr>
            <w:tcW w:type="dxa" w:w="2592"/>
            <w:vAlign w:val="center"/>
          </w:tcPr>
          <w:p>
            <w:r>
              <w:t>48,908</w:t>
            </w:r>
          </w:p>
        </w:tc>
        <w:tc>
          <w:tcPr>
            <w:tcW w:type="dxa" w:w="2592"/>
            <w:vAlign w:val="center"/>
          </w:tcPr>
          <w:p>
            <w:r>
              <w:t>52,094</w:t>
            </w:r>
          </w:p>
        </w:tc>
        <w:tc>
          <w:tcPr>
            <w:tcW w:type="dxa" w:w="2592"/>
            <w:vAlign w:val="center"/>
          </w:tcPr>
          <w:p>
            <w:r>
              <w:t>+6.5%</w:t>
            </w:r>
          </w:p>
        </w:tc>
      </w:tr>
      <w:tr>
        <w:tc>
          <w:tcPr>
            <w:tcW w:type="dxa" w:w="2592"/>
            <w:vAlign w:val="center"/>
          </w:tcPr>
          <w:p>
            <w:r>
              <w:t>Investing cash flow</w:t>
            </w:r>
          </w:p>
        </w:tc>
        <w:tc>
          <w:tcPr>
            <w:tcW w:type="dxa" w:w="2592"/>
            <w:vAlign w:val="center"/>
          </w:tcPr>
          <w:p>
            <w:r>
              <w:t>(2,318)</w:t>
            </w:r>
          </w:p>
        </w:tc>
        <w:tc>
          <w:tcPr>
            <w:tcW w:type="dxa" w:w="2592"/>
            <w:vAlign w:val="center"/>
          </w:tcPr>
          <w:p>
            <w:r>
              <w:t>(12,845)</w:t>
            </w:r>
          </w:p>
        </w:tc>
        <w:tc>
          <w:tcPr>
            <w:tcW w:type="dxa" w:w="2592"/>
            <w:vAlign w:val="center"/>
          </w:tcPr>
          <w:p>
            <w:r>
              <w:t>Higher cash outflow</w:t>
            </w:r>
          </w:p>
        </w:tc>
      </w:tr>
      <w:tr>
        <w:tc>
          <w:tcPr>
            <w:tcW w:type="dxa" w:w="2592"/>
            <w:vAlign w:val="center"/>
          </w:tcPr>
          <w:p>
            <w:r>
              <w:t>Financing cash flow</w:t>
            </w:r>
          </w:p>
        </w:tc>
        <w:tc>
          <w:tcPr>
            <w:tcW w:type="dxa" w:w="2592"/>
            <w:vAlign w:val="center"/>
          </w:tcPr>
          <w:p>
            <w:r>
              <w:t>(47,438)</w:t>
            </w:r>
          </w:p>
        </w:tc>
        <w:tc>
          <w:tcPr>
            <w:tcW w:type="dxa" w:w="2592"/>
            <w:vAlign w:val="center"/>
          </w:tcPr>
          <w:p>
            <w:r>
              <w:t>(42,133)</w:t>
            </w:r>
          </w:p>
        </w:tc>
        <w:tc>
          <w:tcPr>
            <w:tcW w:type="dxa" w:w="2592"/>
            <w:vAlign w:val="center"/>
          </w:tcPr>
          <w:p>
            <w:r>
              <w:t>Lower cash outflow</w:t>
            </w:r>
          </w:p>
        </w:tc>
      </w:tr>
    </w:tbl>
    <w:p>
      <w:pPr>
        <w:pStyle w:val="Heading2"/>
      </w:pPr>
      <w:r>
        <w:t>Key Ratio / Interpretation</w:t>
      </w:r>
    </w:p>
    <w:p>
      <w:pPr>
        <w:pStyle w:val="ListBullet"/>
      </w:pPr>
      <w:r>
        <w:rPr>
          <w:b/>
        </w:rPr>
        <w:t xml:space="preserve">Net Profit Margin ≈ 18.5% </w:t>
      </w:r>
      <w:r>
        <w:t>(₹49,454 crore ÷ ₹2,67,021 crore): TCS retained about ₹18.5 of profit for every ₹100 of operating revenue.</w:t>
      </w:r>
    </w:p>
    <w:p>
      <w:pPr>
        <w:pStyle w:val="ListBullet"/>
      </w:pPr>
      <w:r>
        <w:rPr>
          <w:b/>
        </w:rPr>
        <w:t xml:space="preserve">Current Ratio ≈ 2.23x </w:t>
      </w:r>
      <w:r>
        <w:t>(₹1,35,705 crore current assets ÷ ₹60,914 crore current liabilities): current assets were more than twice current liabilities at year-end.</w:t>
      </w:r>
    </w:p>
    <w:p>
      <w:pPr>
        <w:pStyle w:val="ListBullet"/>
      </w:pPr>
      <w:r>
        <w:rPr>
          <w:b/>
        </w:rPr>
        <w:t xml:space="preserve">Operating Cash Flow Margin ≈ 19.5% </w:t>
      </w:r>
      <w:r>
        <w:t>(₹52,094 crore ÷ ₹2,67,021 crore): operating activities generated strong cash relative to revenue.</w:t>
      </w:r>
    </w:p>
    <w:p>
      <w:pPr>
        <w:pStyle w:val="Heading2"/>
      </w:pPr>
      <w:r>
        <w:t>Business Insights</w:t>
      </w:r>
    </w:p>
    <w:p>
      <w:pPr>
        <w:pStyle w:val="ListBullet"/>
      </w:pPr>
      <w:r>
        <w:t>TCS delivered higher revenue and profit in FY 2025–26, showing continued business growth.</w:t>
      </w:r>
    </w:p>
    <w:p>
      <w:pPr>
        <w:pStyle w:val="ListBullet"/>
      </w:pPr>
      <w:r>
        <w:t>EPS increased to ₹145.99, indicating higher earnings per share on the reported basis.</w:t>
      </w:r>
    </w:p>
    <w:p>
      <w:pPr>
        <w:pStyle w:val="ListBullet"/>
      </w:pPr>
      <w:r>
        <w:t>Total assets and equity increased materially, while operating cash flow also improved.</w:t>
      </w:r>
    </w:p>
    <w:p>
      <w:pPr>
        <w:pStyle w:val="ListBullet"/>
      </w:pPr>
      <w:r>
        <w:t>Investing cash flow was more negative, reflecting larger investment-related cash use; financing cash outflow was lower than the prior year.</w:t>
      </w:r>
    </w:p>
    <w:p>
      <w:pPr>
        <w:pStyle w:val="ListBullet"/>
      </w:pPr>
      <w:r>
        <w:t>These observations describe financial performance for learning purposes and are not investment or trading advice.</w:t>
      </w:r>
    </w:p>
    <w:p>
      <w:pPr>
        <w:pStyle w:val="Heading2"/>
      </w:pPr>
      <w:r>
        <w:t>Sources</w:t>
      </w:r>
    </w:p>
    <w:p>
      <w:pPr>
        <w:pStyle w:val="ListBullet"/>
      </w:pPr>
      <w:r>
        <w:t>TCS Integrated Annual Report 2025–26 – Financial Statements and Performance Trend.</w:t>
      </w:r>
    </w:p>
    <w:p>
      <w:pPr>
        <w:pStyle w:val="ListBullet"/>
      </w:pPr>
      <w:r>
        <w:t>TCS Investor Relations – Financial Statements / Stock Information.</w:t>
      </w:r>
    </w:p>
    <w:p>
      <w:pPr>
        <w:pStyle w:val="ListBullet"/>
      </w:pPr>
      <w:r>
        <w:t>NSE India – Nifty 50 Index information.</w:t>
      </w:r>
    </w:p>
    <w:p>
      <w:pPr>
        <w:pStyle w:val="ListBullet"/>
      </w:pPr>
      <w:r>
        <w:t>Zerodha Varsity – Financial Ratios and Corporate Actions.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Week 2 | Stock Market Fundamentals &amp; TCS Financial 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