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1440" w:lineRule="auto"/>
        <w:jc w:val="center"/>
        <w:rPr>
          <w:b w:val="1"/>
          <w:bCs w:val="1"/>
          <w:color w:val="1e3a5f"/>
          <w:sz w:val="64"/>
          <w:szCs w:val="64"/>
        </w:rPr>
      </w:pPr>
      <w:r w:rsidDel="00000000" w:rsidR="00000000" w:rsidRPr="00000000">
        <w:rPr>
          <w:rtl w:val="0"/>
        </w:rPr>
      </w:r>
    </w:p>
    <w:p w:rsidR="00000000" w:rsidDel="00000000" w:rsidP="00000000" w:rsidRDefault="00000000" w:rsidRPr="00000000" w14:paraId="00000002">
      <w:pPr>
        <w:spacing w:after="80" w:before="1440" w:lineRule="auto"/>
        <w:jc w:val="center"/>
        <w:rPr>
          <w:b w:val="1"/>
          <w:bCs w:val="1"/>
          <w:color w:val="1e3a5f"/>
          <w:sz w:val="64"/>
          <w:szCs w:val="64"/>
        </w:rPr>
      </w:pPr>
      <w:r w:rsidDel="00000000" w:rsidR="00000000" w:rsidRPr="00000000">
        <w:rPr>
          <w:b w:val="1"/>
          <w:bCs w:val="1"/>
          <w:color w:val="1e3a5f"/>
          <w:sz w:val="64"/>
          <w:szCs w:val="64"/>
          <w:rtl w:val="0"/>
        </w:rPr>
        <w:t xml:space="preserve">Proactive Wearable Risk Monitoring</w:t>
      </w:r>
    </w:p>
    <w:p w:rsidR="00000000" w:rsidDel="00000000" w:rsidP="00000000" w:rsidRDefault="00000000" w:rsidRPr="00000000" w14:paraId="00000003">
      <w:pPr>
        <w:spacing w:after="80" w:before="0" w:lineRule="auto"/>
        <w:jc w:val="center"/>
        <w:rPr/>
      </w:pPr>
      <w:r w:rsidDel="00000000" w:rsidR="00000000" w:rsidRPr="00000000">
        <w:rPr>
          <w:color w:val="2e6da4"/>
          <w:sz w:val="36"/>
          <w:szCs w:val="36"/>
          <w:rtl w:val="0"/>
        </w:rPr>
        <w:t xml:space="preserve">An Patient Escalation Model for Consumer Wearables</w:t>
      </w:r>
      <w:r w:rsidDel="00000000" w:rsidR="00000000" w:rsidRPr="00000000">
        <w:rPr>
          <w:rtl w:val="0"/>
        </w:rPr>
      </w:r>
    </w:p>
    <w:p w:rsidR="00000000" w:rsidDel="00000000" w:rsidP="00000000" w:rsidRDefault="00000000" w:rsidRPr="00000000" w14:paraId="00000004">
      <w:pPr>
        <w:spacing w:after="400" w:before="0" w:lineRule="auto"/>
        <w:jc w:val="center"/>
        <w:rPr/>
      </w:pPr>
      <w:r w:rsidDel="00000000" w:rsidR="00000000" w:rsidRPr="00000000">
        <w:rPr>
          <w:rFonts w:ascii="Arial" w:cs="Arial" w:eastAsia="Arial" w:hAnsi="Arial"/>
          <w:color w:val="555555"/>
          <w:sz w:val="22"/>
          <w:szCs w:val="22"/>
          <w:rtl w:val="0"/>
        </w:rPr>
        <w:t xml:space="preserve">Architecture &amp; Design Reference  ·  v1  ·  February 2026</w:t>
      </w:r>
      <w:r w:rsidDel="00000000" w:rsidR="00000000" w:rsidRPr="00000000">
        <w:rPr>
          <w:rtl w:val="0"/>
        </w:rPr>
      </w:r>
    </w:p>
    <w:p w:rsidR="00000000" w:rsidDel="00000000" w:rsidP="00000000" w:rsidRDefault="00000000" w:rsidRPr="00000000" w14:paraId="00000005">
      <w:pPr>
        <w:pBdr>
          <w:bottom w:color="d6e4f0" w:space="1" w:sz="4" w:val="single"/>
        </w:pBdr>
        <w:spacing w:after="120" w:before="120" w:lineRule="auto"/>
        <w:rPr/>
      </w:pPr>
      <w:r w:rsidDel="00000000" w:rsidR="00000000" w:rsidRPr="00000000">
        <w:rPr>
          <w:rtl w:val="0"/>
        </w:rPr>
      </w:r>
    </w:p>
    <w:p w:rsidR="00000000" w:rsidDel="00000000" w:rsidP="00000000" w:rsidRDefault="00000000" w:rsidRPr="00000000" w14:paraId="00000006">
      <w:pPr>
        <w:spacing w:after="120" w:before="240" w:lineRule="auto"/>
        <w:jc w:val="center"/>
        <w:rPr>
          <w:i w:val="1"/>
          <w:iCs w:val="1"/>
          <w:color w:val="555555"/>
        </w:rPr>
      </w:pPr>
      <w:r w:rsidDel="00000000" w:rsidR="00000000" w:rsidRPr="00000000">
        <w:rPr>
          <w:i w:val="1"/>
          <w:iCs w:val="1"/>
          <w:color w:val="555555"/>
          <w:rtl w:val="0"/>
        </w:rPr>
        <w:t xml:space="preserve">“This architecture explores a risk monitoring and escalation pathway that incorporates consumer wearables or other monitoring devices - a path toward a more proactive healthcare model</w:t>
      </w:r>
      <w:r w:rsidDel="00000000" w:rsidR="00000000" w:rsidRPr="00000000">
        <w:rPr>
          <w:i w:val="1"/>
          <w:iCs w:val="1"/>
          <w:color w:val="555555"/>
          <w:rtl w:val="0"/>
        </w:rPr>
        <w:t xml:space="preserve">.</w:t>
      </w:r>
      <w:r w:rsidDel="00000000" w:rsidR="00000000" w:rsidRPr="00000000">
        <w:rPr>
          <w:i w:val="1"/>
          <w:iCs w:val="1"/>
          <w:color w:val="555555"/>
          <w:rtl w:val="0"/>
        </w:rPr>
        <w:t xml:space="preserve">”</w:t>
      </w:r>
    </w:p>
    <w:p w:rsidR="00000000" w:rsidDel="00000000" w:rsidP="00000000" w:rsidRDefault="00000000" w:rsidRPr="00000000" w14:paraId="00000007">
      <w:pPr>
        <w:pBdr>
          <w:bottom w:color="d6e4f0" w:space="1" w:sz="4" w:val="single"/>
        </w:pBdr>
        <w:spacing w:after="120" w:before="120" w:lineRule="auto"/>
        <w:rPr/>
      </w:pPr>
      <w:r w:rsidDel="00000000" w:rsidR="00000000" w:rsidRPr="00000000">
        <w:rPr>
          <w:rtl w:val="0"/>
        </w:rPr>
      </w:r>
    </w:p>
    <w:p w:rsidR="00000000" w:rsidDel="00000000" w:rsidP="00000000" w:rsidRDefault="00000000" w:rsidRPr="00000000" w14:paraId="00000008">
      <w:pPr>
        <w:spacing w:after="40" w:before="4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09">
            <w:pPr>
              <w:rPr/>
            </w:pPr>
            <w:r w:rsidDel="00000000" w:rsidR="00000000" w:rsidRPr="00000000">
              <w:rPr>
                <w:rFonts w:ascii="Arial" w:cs="Arial" w:eastAsia="Arial" w:hAnsi="Arial"/>
                <w:b w:val="1"/>
                <w:bCs w:val="1"/>
                <w:color w:val="2e6da4"/>
                <w:sz w:val="18"/>
                <w:szCs w:val="18"/>
                <w:rtl w:val="0"/>
              </w:rPr>
              <w:t xml:space="preserve">Version</w:t>
            </w:r>
            <w:r w:rsidDel="00000000" w:rsidR="00000000" w:rsidRPr="00000000">
              <w:rPr>
                <w:rtl w:val="0"/>
              </w:rPr>
            </w:r>
          </w:p>
          <w:p w:rsidR="00000000" w:rsidDel="00000000" w:rsidP="00000000" w:rsidRDefault="00000000" w:rsidRPr="00000000" w14:paraId="0000000A">
            <w:pPr>
              <w:rPr/>
            </w:pPr>
            <w:r w:rsidDel="00000000" w:rsidR="00000000" w:rsidRPr="00000000">
              <w:rPr>
                <w:rFonts w:ascii="Arial" w:cs="Arial" w:eastAsia="Arial" w:hAnsi="Arial"/>
                <w:color w:val="2c2c2c"/>
                <w:sz w:val="20"/>
                <w:szCs w:val="20"/>
                <w:rtl w:val="0"/>
              </w:rPr>
              <w:t xml:space="preserve">v1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0B">
            <w:pPr>
              <w:rPr/>
            </w:pPr>
            <w:r w:rsidDel="00000000" w:rsidR="00000000" w:rsidRPr="00000000">
              <w:rPr>
                <w:rFonts w:ascii="Arial" w:cs="Arial" w:eastAsia="Arial" w:hAnsi="Arial"/>
                <w:b w:val="1"/>
                <w:bCs w:val="1"/>
                <w:color w:val="2e6da4"/>
                <w:sz w:val="18"/>
                <w:szCs w:val="18"/>
                <w:rtl w:val="0"/>
              </w:rPr>
              <w:t xml:space="preserve">Date</w:t>
            </w:r>
            <w:r w:rsidDel="00000000" w:rsidR="00000000" w:rsidRPr="00000000">
              <w:rPr>
                <w:rtl w:val="0"/>
              </w:rPr>
            </w:r>
          </w:p>
          <w:p w:rsidR="00000000" w:rsidDel="00000000" w:rsidP="00000000" w:rsidRDefault="00000000" w:rsidRPr="00000000" w14:paraId="0000000C">
            <w:pPr>
              <w:rPr/>
            </w:pPr>
            <w:r w:rsidDel="00000000" w:rsidR="00000000" w:rsidRPr="00000000">
              <w:rPr>
                <w:rFonts w:ascii="Arial" w:cs="Arial" w:eastAsia="Arial" w:hAnsi="Arial"/>
                <w:color w:val="2c2c2c"/>
                <w:sz w:val="20"/>
                <w:szCs w:val="20"/>
                <w:rtl w:val="0"/>
              </w:rPr>
              <w:t xml:space="preserve">February 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0D">
            <w:pPr>
              <w:rPr/>
            </w:pPr>
            <w:r w:rsidDel="00000000" w:rsidR="00000000" w:rsidRPr="00000000">
              <w:rPr>
                <w:rFonts w:ascii="Arial" w:cs="Arial" w:eastAsia="Arial" w:hAnsi="Arial"/>
                <w:b w:val="1"/>
                <w:bCs w:val="1"/>
                <w:color w:val="2e6da4"/>
                <w:sz w:val="18"/>
                <w:szCs w:val="18"/>
                <w:rtl w:val="0"/>
              </w:rPr>
              <w:t xml:space="preserve">Status</w:t>
            </w:r>
            <w:r w:rsidDel="00000000" w:rsidR="00000000" w:rsidRPr="00000000">
              <w:rPr>
                <w:rtl w:val="0"/>
              </w:rPr>
            </w:r>
          </w:p>
          <w:p w:rsidR="00000000" w:rsidDel="00000000" w:rsidP="00000000" w:rsidRDefault="00000000" w:rsidRPr="00000000" w14:paraId="0000000E">
            <w:pPr>
              <w:rPr/>
            </w:pPr>
            <w:r w:rsidDel="00000000" w:rsidR="00000000" w:rsidRPr="00000000">
              <w:rPr>
                <w:rFonts w:ascii="Arial" w:cs="Arial" w:eastAsia="Arial" w:hAnsi="Arial"/>
                <w:color w:val="2c2c2c"/>
                <w:sz w:val="20"/>
                <w:szCs w:val="20"/>
                <w:rtl w:val="0"/>
              </w:rPr>
              <w:t xml:space="preserve">Conceptual / Pre-prototype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0F">
            <w:pPr>
              <w:rPr/>
            </w:pPr>
            <w:r w:rsidDel="00000000" w:rsidR="00000000" w:rsidRPr="00000000">
              <w:rPr>
                <w:rFonts w:ascii="Arial" w:cs="Arial" w:eastAsia="Arial" w:hAnsi="Arial"/>
                <w:b w:val="1"/>
                <w:bCs w:val="1"/>
                <w:color w:val="2e6da4"/>
                <w:sz w:val="18"/>
                <w:szCs w:val="18"/>
                <w:rtl w:val="0"/>
              </w:rPr>
              <w:t xml:space="preserve">License</w:t>
            </w:r>
            <w:r w:rsidDel="00000000" w:rsidR="00000000" w:rsidRPr="00000000">
              <w:rPr>
                <w:rtl w:val="0"/>
              </w:rPr>
            </w:r>
          </w:p>
          <w:p w:rsidR="00000000" w:rsidDel="00000000" w:rsidP="00000000" w:rsidRDefault="00000000" w:rsidRPr="00000000" w14:paraId="00000010">
            <w:pPr>
              <w:rPr/>
            </w:pPr>
            <w:r w:rsidDel="00000000" w:rsidR="00000000" w:rsidRPr="00000000">
              <w:rPr>
                <w:rFonts w:ascii="Arial" w:cs="Arial" w:eastAsia="Arial" w:hAnsi="Arial"/>
                <w:color w:val="2c2c2c"/>
                <w:sz w:val="20"/>
                <w:szCs w:val="20"/>
                <w:rtl w:val="0"/>
              </w:rPr>
              <w:t xml:space="preserve">Apache 2.0</w:t>
            </w:r>
            <w:r w:rsidDel="00000000" w:rsidR="00000000" w:rsidRPr="00000000">
              <w:rPr>
                <w:rtl w:val="0"/>
              </w:rPr>
            </w:r>
          </w:p>
        </w:tc>
      </w:tr>
    </w:tbl>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1"/>
        <w:spacing w:after="160" w:before="320" w:lineRule="auto"/>
        <w:rPr/>
      </w:pPr>
      <w:r w:rsidDel="00000000" w:rsidR="00000000" w:rsidRPr="00000000">
        <w:rPr>
          <w:rFonts w:ascii="Arial" w:cs="Arial" w:eastAsia="Arial" w:hAnsi="Arial"/>
          <w:b w:val="1"/>
          <w:bCs w:val="1"/>
          <w:color w:val="1e3a5f"/>
          <w:sz w:val="32"/>
          <w:szCs w:val="32"/>
          <w:rtl w:val="0"/>
        </w:rPr>
        <w:t xml:space="preserve">1. Motivation</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color w:val="2c2c2c"/>
        </w:rPr>
      </w:pPr>
      <w:r w:rsidDel="00000000" w:rsidR="00000000" w:rsidRPr="00000000">
        <w:rPr>
          <w:color w:val="2c2c2c"/>
          <w:rtl w:val="0"/>
        </w:rPr>
        <w:t xml:space="preserve">Consumer wearables and health monitoring devices record a wealth of patient health information. With the right risk scoring and context, the information gathered from consumer wearables could be used to monitor for negative health episodes, allowing risks to be flagged proactively rather than waiting for a patient to report symptoms. This is especially powerful for patients with severe conditions.</w:t>
      </w:r>
      <w:r w:rsidDel="00000000" w:rsidR="00000000" w:rsidRPr="00000000">
        <w:rPr>
          <w:rtl w:val="0"/>
        </w:rPr>
      </w:r>
    </w:p>
    <w:p w:rsidR="00000000" w:rsidDel="00000000" w:rsidP="00000000" w:rsidRDefault="00000000" w:rsidRPr="00000000" w14:paraId="00000014">
      <w:pPr>
        <w:spacing w:after="40" w:before="4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120.0" w:type="dxa"/>
              <w:left w:w="180.0" w:type="dxa"/>
              <w:bottom w:w="120.0" w:type="dxa"/>
              <w:right w:w="180.0" w:type="dxa"/>
            </w:tcMar>
          </w:tcPr>
          <w:p w:rsidR="00000000" w:rsidDel="00000000" w:rsidP="00000000" w:rsidRDefault="00000000" w:rsidRPr="00000000" w14:paraId="00000015">
            <w:pPr>
              <w:spacing w:after="60" w:before="0" w:lineRule="auto"/>
              <w:rPr/>
            </w:pPr>
            <w:r w:rsidDel="00000000" w:rsidR="00000000" w:rsidRPr="00000000">
              <w:rPr>
                <w:rFonts w:ascii="Arial" w:cs="Arial" w:eastAsia="Arial" w:hAnsi="Arial"/>
                <w:b w:val="1"/>
                <w:bCs w:val="1"/>
                <w:color w:val="1e3a5f"/>
                <w:sz w:val="20"/>
                <w:szCs w:val="20"/>
                <w:rtl w:val="0"/>
              </w:rPr>
              <w:t xml:space="preserve">Core </w:t>
            </w:r>
            <w:r w:rsidDel="00000000" w:rsidR="00000000" w:rsidRPr="00000000">
              <w:rPr>
                <w:b w:val="1"/>
                <w:bCs w:val="1"/>
                <w:color w:val="1e3a5f"/>
                <w:sz w:val="20"/>
                <w:szCs w:val="20"/>
                <w:rtl w:val="0"/>
              </w:rPr>
              <w:t xml:space="preserve">Hypothesis</w:t>
            </w:r>
            <w:r w:rsidDel="00000000" w:rsidR="00000000" w:rsidRPr="00000000">
              <w:rPr>
                <w:rtl w:val="0"/>
              </w:rPr>
            </w:r>
          </w:p>
          <w:p w:rsidR="00000000" w:rsidDel="00000000" w:rsidP="00000000" w:rsidRDefault="00000000" w:rsidRPr="00000000" w14:paraId="00000016">
            <w:pPr>
              <w:spacing w:after="0" w:before="0" w:lineRule="auto"/>
              <w:rPr/>
            </w:pPr>
            <w:r w:rsidDel="00000000" w:rsidR="00000000" w:rsidRPr="00000000">
              <w:rPr>
                <w:color w:val="2c2c2c"/>
                <w:sz w:val="20"/>
                <w:szCs w:val="20"/>
                <w:rtl w:val="0"/>
              </w:rPr>
              <w:t xml:space="preserve">Proactive risk monitoring and escalation, informed by EHR context and consumer wearables will improve patient outcomes by allowing critical episodes to be caught earlier, reducing hospitalization and cost.</w:t>
            </w:r>
            <w:r w:rsidDel="00000000" w:rsidR="00000000" w:rsidRPr="00000000">
              <w:rPr>
                <w:rtl w:val="0"/>
              </w:rPr>
            </w:r>
          </w:p>
        </w:tc>
      </w:tr>
    </w:tbl>
    <w:p w:rsidR="00000000" w:rsidDel="00000000" w:rsidP="00000000" w:rsidRDefault="00000000" w:rsidRPr="00000000" w14:paraId="00000017">
      <w:pPr>
        <w:spacing w:after="80" w:before="60" w:lineRule="auto"/>
        <w:rPr/>
      </w:pPr>
      <w:r w:rsidDel="00000000" w:rsidR="00000000" w:rsidRPr="00000000">
        <w:rPr>
          <w:rtl w:val="0"/>
        </w:rPr>
      </w:r>
    </w:p>
    <w:p w:rsidR="00000000" w:rsidDel="00000000" w:rsidP="00000000" w:rsidRDefault="00000000" w:rsidRPr="00000000" w14:paraId="00000018">
      <w:pPr>
        <w:pStyle w:val="Heading2"/>
        <w:spacing w:after="120" w:before="240" w:lineRule="auto"/>
        <w:rPr/>
      </w:pPr>
      <w:r w:rsidDel="00000000" w:rsidR="00000000" w:rsidRPr="00000000">
        <w:rPr>
          <w:rFonts w:ascii="Arial" w:cs="Arial" w:eastAsia="Arial" w:hAnsi="Arial"/>
          <w:b w:val="1"/>
          <w:bCs w:val="1"/>
          <w:color w:val="2e6da4"/>
          <w:sz w:val="26"/>
          <w:szCs w:val="26"/>
          <w:rtl w:val="0"/>
        </w:rPr>
        <w:t xml:space="preserve">Relationship to Existing Approaches</w:t>
      </w:r>
      <w:r w:rsidDel="00000000" w:rsidR="00000000" w:rsidRPr="00000000">
        <w:rPr>
          <w:rtl w:val="0"/>
        </w:rPr>
      </w:r>
    </w:p>
    <w:p w:rsidR="00000000" w:rsidDel="00000000" w:rsidP="00000000" w:rsidRDefault="00000000" w:rsidRPr="00000000" w14:paraId="00000019">
      <w:pPr>
        <w:spacing w:after="40" w:before="4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800"/>
        <w:gridCol w:w="4560"/>
        <w:tblGridChange w:id="0">
          <w:tblGrid>
            <w:gridCol w:w="2000"/>
            <w:gridCol w:w="2800"/>
            <w:gridCol w:w="4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tcPr>
          <w:p w:rsidR="00000000" w:rsidDel="00000000" w:rsidP="00000000" w:rsidRDefault="00000000" w:rsidRPr="00000000" w14:paraId="0000001A">
            <w:pPr>
              <w:rPr/>
            </w:pPr>
            <w:r w:rsidDel="00000000" w:rsidR="00000000" w:rsidRPr="00000000">
              <w:rPr>
                <w:rFonts w:ascii="Arial" w:cs="Arial" w:eastAsia="Arial" w:hAnsi="Arial"/>
                <w:b w:val="1"/>
                <w:bCs w:val="1"/>
                <w:color w:val="ffffff"/>
                <w:sz w:val="20"/>
                <w:szCs w:val="20"/>
                <w:rtl w:val="0"/>
              </w:rPr>
              <w:t xml:space="preserve">Approach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tcPr>
          <w:p w:rsidR="00000000" w:rsidDel="00000000" w:rsidP="00000000" w:rsidRDefault="00000000" w:rsidRPr="00000000" w14:paraId="0000001B">
            <w:pPr>
              <w:rPr/>
            </w:pPr>
            <w:r w:rsidDel="00000000" w:rsidR="00000000" w:rsidRPr="00000000">
              <w:rPr>
                <w:rFonts w:ascii="Arial" w:cs="Arial" w:eastAsia="Arial" w:hAnsi="Arial"/>
                <w:b w:val="1"/>
                <w:bCs w:val="1"/>
                <w:color w:val="ffffff"/>
                <w:sz w:val="20"/>
                <w:szCs w:val="20"/>
                <w:rtl w:val="0"/>
              </w:rPr>
              <w:t xml:space="preserve">What It Does Well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tcPr>
          <w:p w:rsidR="00000000" w:rsidDel="00000000" w:rsidP="00000000" w:rsidRDefault="00000000" w:rsidRPr="00000000" w14:paraId="0000001C">
            <w:pPr>
              <w:rPr/>
            </w:pPr>
            <w:r w:rsidDel="00000000" w:rsidR="00000000" w:rsidRPr="00000000">
              <w:rPr>
                <w:rFonts w:ascii="Arial" w:cs="Arial" w:eastAsia="Arial" w:hAnsi="Arial"/>
                <w:b w:val="1"/>
                <w:bCs w:val="1"/>
                <w:color w:val="ffffff"/>
                <w:sz w:val="20"/>
                <w:szCs w:val="20"/>
                <w:rtl w:val="0"/>
              </w:rPr>
              <w:t xml:space="preserve">What This Architecture Adds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1D">
            <w:pPr>
              <w:rPr/>
            </w:pPr>
            <w:r w:rsidDel="00000000" w:rsidR="00000000" w:rsidRPr="00000000">
              <w:rPr>
                <w:color w:val="2c2c2c"/>
                <w:sz w:val="20"/>
                <w:szCs w:val="20"/>
                <w:rtl w:val="0"/>
              </w:rPr>
              <w:t xml:space="preserve">Patient Symptom Reports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1E">
            <w:pPr>
              <w:rPr/>
            </w:pPr>
            <w:r w:rsidDel="00000000" w:rsidR="00000000" w:rsidRPr="00000000">
              <w:rPr>
                <w:color w:val="2c2c2c"/>
                <w:sz w:val="20"/>
                <w:szCs w:val="20"/>
                <w:rtl w:val="0"/>
              </w:rPr>
              <w:t xml:space="preserve">Allows patients to escalate symptom concerns. In some cases, proactively reaches out to patients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1F">
            <w:pPr>
              <w:rPr/>
            </w:pPr>
            <w:r w:rsidDel="00000000" w:rsidR="00000000" w:rsidRPr="00000000">
              <w:rPr>
                <w:color w:val="2c2c2c"/>
                <w:sz w:val="20"/>
                <w:szCs w:val="20"/>
                <w:rtl w:val="0"/>
              </w:rPr>
              <w:t xml:space="preserve">Wearables allow targeted and timely questioning or escalation to providers without relying on patient symptom reports if vitals are critical risk.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20">
            <w:pPr>
              <w:rPr/>
            </w:pPr>
            <w:r w:rsidDel="00000000" w:rsidR="00000000" w:rsidRPr="00000000">
              <w:rPr>
                <w:color w:val="2c2c2c"/>
                <w:sz w:val="20"/>
                <w:szCs w:val="20"/>
                <w:rtl w:val="0"/>
              </w:rPr>
              <w:t xml:space="preserve">Provider Follow Up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1">
            <w:pPr>
              <w:rPr/>
            </w:pPr>
            <w:r w:rsidDel="00000000" w:rsidR="00000000" w:rsidRPr="00000000">
              <w:rPr>
                <w:color w:val="2c2c2c"/>
                <w:sz w:val="20"/>
                <w:szCs w:val="20"/>
                <w:rtl w:val="0"/>
              </w:rPr>
              <w:t xml:space="preserve">Provider directly involved for targeted symptom questions.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color w:val="2c2c2c"/>
                <w:sz w:val="20"/>
                <w:szCs w:val="20"/>
                <w:rtl w:val="0"/>
              </w:rPr>
              <w:t xml:space="preserve">Proactively involves the provider if critical risk is present. Could catch episodes standard follow ups may not due to timing</w:t>
            </w:r>
            <w:r w:rsidDel="00000000" w:rsidR="00000000" w:rsidRPr="00000000">
              <w:rPr>
                <w:rtl w:val="0"/>
              </w:rPr>
              <w:t xml:space="preserve">.</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23">
            <w:pPr>
              <w:rPr/>
            </w:pPr>
            <w:r w:rsidDel="00000000" w:rsidR="00000000" w:rsidRPr="00000000">
              <w:rPr>
                <w:color w:val="2c2c2c"/>
                <w:sz w:val="20"/>
                <w:szCs w:val="20"/>
                <w:rtl w:val="0"/>
              </w:rPr>
              <w:t xml:space="preserve">Consumer Wearable dashboards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4">
            <w:pPr>
              <w:rPr/>
            </w:pPr>
            <w:r w:rsidDel="00000000" w:rsidR="00000000" w:rsidRPr="00000000">
              <w:rPr>
                <w:color w:val="2c2c2c"/>
                <w:sz w:val="20"/>
                <w:szCs w:val="20"/>
                <w:rtl w:val="0"/>
              </w:rPr>
              <w:t xml:space="preserve">Allows providers to view and monitor patient vitals.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5">
            <w:pPr>
              <w:rPr/>
            </w:pPr>
            <w:r w:rsidDel="00000000" w:rsidR="00000000" w:rsidRPr="00000000">
              <w:rPr>
                <w:color w:val="2c2c2c"/>
                <w:sz w:val="20"/>
                <w:szCs w:val="20"/>
                <w:rtl w:val="0"/>
              </w:rPr>
              <w:t xml:space="preserve">Dashboards would provide a large amount of information that requires provider review and decision making. This narrows provider attention to the most relevant and actionable cases.</w:t>
            </w:r>
            <w:r w:rsidDel="00000000" w:rsidR="00000000" w:rsidRPr="00000000">
              <w:rPr>
                <w:rtl w:val="0"/>
              </w:rPr>
            </w:r>
          </w:p>
        </w:tc>
      </w:tr>
    </w:tbl>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pStyle w:val="Heading1"/>
        <w:spacing w:after="160" w:before="320" w:lineRule="auto"/>
        <w:rPr/>
      </w:pPr>
      <w:r w:rsidDel="00000000" w:rsidR="00000000" w:rsidRPr="00000000">
        <w:rPr>
          <w:rtl w:val="0"/>
        </w:rPr>
        <w:t xml:space="preserve">2</w:t>
      </w:r>
      <w:r w:rsidDel="00000000" w:rsidR="00000000" w:rsidRPr="00000000">
        <w:rPr>
          <w:rFonts w:ascii="Arial" w:cs="Arial" w:eastAsia="Arial" w:hAnsi="Arial"/>
          <w:b w:val="1"/>
          <w:bCs w:val="1"/>
          <w:color w:val="1e3a5f"/>
          <w:sz w:val="32"/>
          <w:szCs w:val="32"/>
          <w:rtl w:val="0"/>
        </w:rPr>
        <w:t xml:space="preserve">. Full System Architecture</w:t>
      </w:r>
      <w:r w:rsidDel="00000000" w:rsidR="00000000" w:rsidRPr="00000000">
        <w:rPr>
          <w:rtl w:val="0"/>
        </w:rPr>
      </w:r>
    </w:p>
    <w:p w:rsidR="00000000" w:rsidDel="00000000" w:rsidP="00000000" w:rsidRDefault="00000000" w:rsidRPr="00000000" w14:paraId="00000028">
      <w:pPr>
        <w:spacing w:after="80" w:before="60" w:lineRule="auto"/>
        <w:rPr/>
      </w:pPr>
      <w:r w:rsidDel="00000000" w:rsidR="00000000" w:rsidRPr="00000000">
        <w:rPr>
          <w:rFonts w:ascii="Arial" w:cs="Arial" w:eastAsia="Arial" w:hAnsi="Arial"/>
          <w:color w:val="2c2c2c"/>
          <w:sz w:val="22"/>
          <w:szCs w:val="22"/>
          <w:rtl w:val="0"/>
        </w:rPr>
        <w:t xml:space="preserve">The complete architecture for </w:t>
      </w:r>
      <w:r w:rsidDel="00000000" w:rsidR="00000000" w:rsidRPr="00000000">
        <w:rPr>
          <w:color w:val="2c2c2c"/>
          <w:rtl w:val="0"/>
        </w:rPr>
        <w:t xml:space="preserve">v1 </w:t>
      </w:r>
      <w:r w:rsidDel="00000000" w:rsidR="00000000" w:rsidRPr="00000000">
        <w:rPr>
          <w:rFonts w:ascii="Arial" w:cs="Arial" w:eastAsia="Arial" w:hAnsi="Arial"/>
          <w:color w:val="2c2c2c"/>
          <w:sz w:val="22"/>
          <w:szCs w:val="22"/>
          <w:rtl w:val="0"/>
        </w:rPr>
        <w:t xml:space="preserve">consists of </w:t>
      </w:r>
      <w:r w:rsidDel="00000000" w:rsidR="00000000" w:rsidRPr="00000000">
        <w:rPr>
          <w:color w:val="2c2c2c"/>
          <w:rtl w:val="0"/>
        </w:rPr>
        <w:t xml:space="preserve">6 distinct components that are defined in 2.1. </w:t>
      </w:r>
      <w:r w:rsidDel="00000000" w:rsidR="00000000" w:rsidRPr="00000000">
        <w:rPr>
          <w:rtl w:val="0"/>
        </w:rPr>
      </w:r>
    </w:p>
    <w:p w:rsidR="00000000" w:rsidDel="00000000" w:rsidP="00000000" w:rsidRDefault="00000000" w:rsidRPr="00000000" w14:paraId="00000029">
      <w:pPr>
        <w:pStyle w:val="Heading2"/>
        <w:spacing w:after="120" w:before="240" w:lineRule="auto"/>
        <w:rPr/>
      </w:pPr>
      <w:r w:rsidDel="00000000" w:rsidR="00000000" w:rsidRPr="00000000">
        <w:rPr>
          <w:rFonts w:ascii="Arial" w:cs="Arial" w:eastAsia="Arial" w:hAnsi="Arial"/>
          <w:b w:val="1"/>
          <w:bCs w:val="1"/>
          <w:color w:val="2e6da4"/>
          <w:sz w:val="26"/>
          <w:szCs w:val="26"/>
          <w:rtl w:val="0"/>
        </w:rPr>
        <w:t xml:space="preserve">Layer Overview</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60" w:line="240" w:lineRule="auto"/>
        <w:ind w:left="0" w:right="0" w:firstLine="0"/>
        <w:jc w:val="left"/>
        <w:rPr>
          <w:color w:val="2c2c2c"/>
        </w:rPr>
      </w:pPr>
      <w:r w:rsidDel="00000000" w:rsidR="00000000" w:rsidRPr="00000000">
        <w:rPr>
          <w:color w:val="2c2c2c"/>
          <w:rtl w:val="0"/>
        </w:rPr>
        <w:t xml:space="preserve">The architecture has six named components that ingest information from the EHR and consumer wearables and output a patient risk flag (medium-high) or a provider risk flag (critical).</w:t>
      </w:r>
      <w:r w:rsidDel="00000000" w:rsidR="00000000" w:rsidRPr="00000000">
        <w:rPr>
          <w:rtl w:val="0"/>
        </w:rPr>
      </w:r>
    </w:p>
    <w:p w:rsidR="00000000" w:rsidDel="00000000" w:rsidP="00000000" w:rsidRDefault="00000000" w:rsidRPr="00000000" w14:paraId="0000002B">
      <w:pPr>
        <w:spacing w:after="40" w:before="40" w:lineRule="auto"/>
        <w:rPr>
          <w:sz w:val="20"/>
          <w:szCs w:val="20"/>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4800"/>
        <w:gridCol w:w="2560"/>
        <w:tblGridChange w:id="0">
          <w:tblGrid>
            <w:gridCol w:w="2000"/>
            <w:gridCol w:w="4800"/>
            <w:gridCol w:w="25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4e79" w:val="clear"/>
            <w:tcMar>
              <w:top w:w="80.0" w:type="dxa"/>
              <w:left w:w="120.0" w:type="dxa"/>
              <w:bottom w:w="80.0" w:type="dxa"/>
              <w:right w:w="120.0" w:type="dxa"/>
            </w:tcMar>
          </w:tcPr>
          <w:p w:rsidR="00000000" w:rsidDel="00000000" w:rsidP="00000000" w:rsidRDefault="00000000" w:rsidRPr="00000000" w14:paraId="0000002C">
            <w:pPr>
              <w:spacing w:after="100" w:before="80" w:lineRule="auto"/>
              <w:rPr>
                <w:sz w:val="20"/>
                <w:szCs w:val="20"/>
              </w:rPr>
            </w:pPr>
            <w:r w:rsidDel="00000000" w:rsidR="00000000" w:rsidRPr="00000000">
              <w:rPr>
                <w:b w:val="1"/>
                <w:bCs w:val="1"/>
                <w:color w:val="ffffff"/>
                <w:sz w:val="18"/>
                <w:szCs w:val="18"/>
                <w:rtl w:val="0"/>
              </w:rPr>
              <w:t xml:space="preserve">Component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80.0" w:type="dxa"/>
              <w:left w:w="120.0" w:type="dxa"/>
              <w:bottom w:w="80.0" w:type="dxa"/>
              <w:right w:w="120.0" w:type="dxa"/>
            </w:tcMar>
          </w:tcPr>
          <w:p w:rsidR="00000000" w:rsidDel="00000000" w:rsidP="00000000" w:rsidRDefault="00000000" w:rsidRPr="00000000" w14:paraId="0000002D">
            <w:pPr>
              <w:spacing w:after="100" w:before="80" w:lineRule="auto"/>
              <w:rPr>
                <w:sz w:val="20"/>
                <w:szCs w:val="20"/>
              </w:rPr>
            </w:pPr>
            <w:r w:rsidDel="00000000" w:rsidR="00000000" w:rsidRPr="00000000">
              <w:rPr>
                <w:b w:val="1"/>
                <w:bCs w:val="1"/>
                <w:color w:val="ffffff"/>
                <w:sz w:val="18"/>
                <w:szCs w:val="18"/>
                <w:rtl w:val="0"/>
              </w:rPr>
              <w:t xml:space="preserve">Description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80.0" w:type="dxa"/>
              <w:left w:w="120.0" w:type="dxa"/>
              <w:bottom w:w="80.0" w:type="dxa"/>
              <w:right w:w="120.0" w:type="dxa"/>
            </w:tcMar>
          </w:tcPr>
          <w:p w:rsidR="00000000" w:rsidDel="00000000" w:rsidP="00000000" w:rsidRDefault="00000000" w:rsidRPr="00000000" w14:paraId="0000002E">
            <w:pPr>
              <w:spacing w:after="100" w:before="80" w:lineRule="auto"/>
              <w:rPr>
                <w:sz w:val="20"/>
                <w:szCs w:val="20"/>
              </w:rPr>
            </w:pPr>
            <w:r w:rsidDel="00000000" w:rsidR="00000000" w:rsidRPr="00000000">
              <w:rPr>
                <w:b w:val="1"/>
                <w:bCs w:val="1"/>
                <w:color w:val="ffffff"/>
                <w:sz w:val="18"/>
                <w:szCs w:val="18"/>
                <w:rtl w:val="0"/>
              </w:rPr>
              <w:t xml:space="preserve">Key Points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2F">
            <w:pPr>
              <w:spacing w:after="100" w:before="80" w:lineRule="auto"/>
              <w:rPr>
                <w:sz w:val="20"/>
                <w:szCs w:val="20"/>
              </w:rPr>
            </w:pPr>
            <w:r w:rsidDel="00000000" w:rsidR="00000000" w:rsidRPr="00000000">
              <w:rPr>
                <w:b w:val="1"/>
                <w:bCs w:val="1"/>
                <w:color w:val="1f4e79"/>
                <w:sz w:val="18"/>
                <w:szCs w:val="18"/>
                <w:rtl w:val="0"/>
              </w:rPr>
              <w:t xml:space="preserve">Wearable input layer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0">
            <w:pPr>
              <w:spacing w:after="100" w:before="80" w:lineRule="auto"/>
              <w:rPr>
                <w:sz w:val="20"/>
                <w:szCs w:val="20"/>
              </w:rPr>
            </w:pPr>
            <w:r w:rsidDel="00000000" w:rsidR="00000000" w:rsidRPr="00000000">
              <w:rPr>
                <w:sz w:val="18"/>
                <w:szCs w:val="18"/>
                <w:rtl w:val="0"/>
              </w:rPr>
              <w:t xml:space="preserve">API call to wearable device to get available patient vitals (HR, HRV, respiration, ect.) (See section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31">
            <w:pPr>
              <w:numPr>
                <w:ilvl w:val="0"/>
                <w:numId w:val="1"/>
              </w:numPr>
              <w:spacing w:after="20" w:before="20" w:lineRule="auto"/>
              <w:ind w:left="720" w:hanging="360"/>
              <w:rPr>
                <w:sz w:val="20"/>
                <w:szCs w:val="20"/>
              </w:rPr>
            </w:pPr>
            <w:r w:rsidDel="00000000" w:rsidR="00000000" w:rsidRPr="00000000">
              <w:rPr>
                <w:sz w:val="16"/>
                <w:szCs w:val="16"/>
                <w:rtl w:val="0"/>
              </w:rPr>
              <w:t xml:space="preserve">API call</w:t>
            </w:r>
          </w:p>
          <w:p w:rsidR="00000000" w:rsidDel="00000000" w:rsidP="00000000" w:rsidRDefault="00000000" w:rsidRPr="00000000" w14:paraId="00000032">
            <w:pPr>
              <w:numPr>
                <w:ilvl w:val="0"/>
                <w:numId w:val="1"/>
              </w:numPr>
              <w:spacing w:after="20" w:before="20" w:lineRule="auto"/>
              <w:ind w:left="720" w:hanging="360"/>
              <w:rPr>
                <w:sz w:val="16"/>
                <w:szCs w:val="16"/>
                <w:u w:val="none"/>
              </w:rPr>
            </w:pPr>
            <w:r w:rsidDel="00000000" w:rsidR="00000000" w:rsidRPr="00000000">
              <w:rPr>
                <w:sz w:val="16"/>
                <w:szCs w:val="16"/>
                <w:rtl w:val="0"/>
              </w:rPr>
              <w:t xml:space="preserve">Vital ingestion</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33">
            <w:pPr>
              <w:spacing w:after="100" w:before="80" w:lineRule="auto"/>
              <w:rPr>
                <w:sz w:val="20"/>
                <w:szCs w:val="20"/>
              </w:rPr>
            </w:pPr>
            <w:r w:rsidDel="00000000" w:rsidR="00000000" w:rsidRPr="00000000">
              <w:rPr>
                <w:b w:val="1"/>
                <w:bCs w:val="1"/>
                <w:color w:val="1f4e79"/>
                <w:sz w:val="18"/>
                <w:szCs w:val="18"/>
                <w:rtl w:val="0"/>
              </w:rPr>
              <w:t xml:space="preserve">Wearable Risk Engine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4">
            <w:pPr>
              <w:spacing w:after="100" w:before="80" w:lineRule="auto"/>
              <w:rPr>
                <w:sz w:val="20"/>
                <w:szCs w:val="20"/>
              </w:rPr>
            </w:pPr>
            <w:r w:rsidDel="00000000" w:rsidR="00000000" w:rsidRPr="00000000">
              <w:rPr>
                <w:sz w:val="18"/>
                <w:szCs w:val="18"/>
                <w:rtl w:val="0"/>
              </w:rPr>
              <w:t xml:space="preserve">Calculates a risk score of ingested vitals based on vital severity and confidence. (See section 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35">
            <w:pPr>
              <w:numPr>
                <w:ilvl w:val="0"/>
                <w:numId w:val="1"/>
              </w:numPr>
              <w:spacing w:after="20" w:before="20" w:lineRule="auto"/>
              <w:ind w:left="720" w:hanging="360"/>
              <w:rPr>
                <w:sz w:val="20"/>
                <w:szCs w:val="20"/>
              </w:rPr>
            </w:pPr>
            <w:r w:rsidDel="00000000" w:rsidR="00000000" w:rsidRPr="00000000">
              <w:rPr>
                <w:sz w:val="16"/>
                <w:szCs w:val="16"/>
                <w:rtl w:val="0"/>
              </w:rPr>
              <w:t xml:space="preserve">Wearable risk score</w:t>
            </w:r>
          </w:p>
          <w:p w:rsidR="00000000" w:rsidDel="00000000" w:rsidP="00000000" w:rsidRDefault="00000000" w:rsidRPr="00000000" w14:paraId="00000036">
            <w:pPr>
              <w:numPr>
                <w:ilvl w:val="0"/>
                <w:numId w:val="1"/>
              </w:numPr>
              <w:spacing w:after="20" w:before="20" w:lineRule="auto"/>
              <w:ind w:left="720" w:hanging="360"/>
              <w:rPr>
                <w:sz w:val="16"/>
                <w:szCs w:val="16"/>
                <w:u w:val="none"/>
              </w:rPr>
            </w:pPr>
            <w:r w:rsidDel="00000000" w:rsidR="00000000" w:rsidRPr="00000000">
              <w:rPr>
                <w:sz w:val="16"/>
                <w:szCs w:val="16"/>
                <w:rtl w:val="0"/>
              </w:rPr>
              <w:t xml:space="preserve">Confidence score</w:t>
            </w:r>
          </w:p>
          <w:p w:rsidR="00000000" w:rsidDel="00000000" w:rsidP="00000000" w:rsidRDefault="00000000" w:rsidRPr="00000000" w14:paraId="00000037">
            <w:pPr>
              <w:numPr>
                <w:ilvl w:val="0"/>
                <w:numId w:val="1"/>
              </w:numPr>
              <w:spacing w:after="20" w:before="20" w:lineRule="auto"/>
              <w:ind w:left="720" w:hanging="360"/>
              <w:rPr>
                <w:sz w:val="16"/>
                <w:szCs w:val="16"/>
                <w:u w:val="none"/>
              </w:rPr>
            </w:pPr>
            <w:r w:rsidDel="00000000" w:rsidR="00000000" w:rsidRPr="00000000">
              <w:rPr>
                <w:sz w:val="16"/>
                <w:szCs w:val="16"/>
                <w:rtl w:val="0"/>
              </w:rPr>
              <w:t xml:space="preserve">Severity Score</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38">
            <w:pPr>
              <w:spacing w:after="100" w:before="80" w:lineRule="auto"/>
              <w:rPr>
                <w:b w:val="1"/>
                <w:bCs w:val="1"/>
                <w:color w:val="1f4e79"/>
                <w:sz w:val="18"/>
                <w:szCs w:val="18"/>
              </w:rPr>
            </w:pPr>
            <w:r w:rsidDel="00000000" w:rsidR="00000000" w:rsidRPr="00000000">
              <w:rPr>
                <w:b w:val="1"/>
                <w:bCs w:val="1"/>
                <w:color w:val="1f4e79"/>
                <w:sz w:val="18"/>
                <w:szCs w:val="18"/>
                <w:rtl w:val="0"/>
              </w:rPr>
              <w:t xml:space="preserve">EHR Modifier Layer</w:t>
            </w:r>
          </w:p>
          <w:p w:rsidR="00000000" w:rsidDel="00000000" w:rsidP="00000000" w:rsidRDefault="00000000" w:rsidRPr="00000000" w14:paraId="00000039">
            <w:pPr>
              <w:spacing w:after="100" w:before="80" w:lineRule="auto"/>
              <w:rPr>
                <w:b w:val="1"/>
                <w:bCs w:val="1"/>
                <w:color w:val="1f4e79"/>
                <w:sz w:val="18"/>
                <w:szCs w:val="18"/>
              </w:rPr>
            </w:pPr>
            <w:r w:rsidDel="00000000" w:rsidR="00000000" w:rsidRPr="00000000">
              <w:rPr>
                <w:b w:val="1"/>
                <w:bCs w:val="1"/>
                <w:color w:val="1f4e79"/>
                <w:sz w:val="18"/>
                <w:szCs w:val="18"/>
                <w:rtl w:val="0"/>
              </w:rPr>
              <w:t xml:space="preserve">(recommended, not required)</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A">
            <w:pPr>
              <w:spacing w:after="100" w:before="80" w:lineRule="auto"/>
              <w:rPr>
                <w:sz w:val="20"/>
                <w:szCs w:val="20"/>
              </w:rPr>
            </w:pPr>
            <w:r w:rsidDel="00000000" w:rsidR="00000000" w:rsidRPr="00000000">
              <w:rPr>
                <w:sz w:val="18"/>
                <w:szCs w:val="18"/>
                <w:rtl w:val="0"/>
              </w:rPr>
              <w:t xml:space="preserve">Modifies the risk score based on relevant risk factors present and ingestible from the EHR, such as diagnosis and recent hospitalization. (See section 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3B">
            <w:pPr>
              <w:numPr>
                <w:ilvl w:val="0"/>
                <w:numId w:val="1"/>
              </w:numPr>
              <w:spacing w:after="20" w:before="20" w:lineRule="auto"/>
              <w:ind w:left="720" w:hanging="360"/>
              <w:rPr>
                <w:sz w:val="20"/>
                <w:szCs w:val="20"/>
              </w:rPr>
            </w:pPr>
            <w:r w:rsidDel="00000000" w:rsidR="00000000" w:rsidRPr="00000000">
              <w:rPr>
                <w:sz w:val="16"/>
                <w:szCs w:val="16"/>
                <w:rtl w:val="0"/>
              </w:rPr>
              <w:t xml:space="preserve">Risk modifier</w:t>
            </w:r>
          </w:p>
          <w:p w:rsidR="00000000" w:rsidDel="00000000" w:rsidP="00000000" w:rsidRDefault="00000000" w:rsidRPr="00000000" w14:paraId="0000003C">
            <w:pPr>
              <w:numPr>
                <w:ilvl w:val="0"/>
                <w:numId w:val="1"/>
              </w:numPr>
              <w:spacing w:after="20" w:before="20" w:lineRule="auto"/>
              <w:ind w:left="720" w:hanging="360"/>
              <w:rPr>
                <w:sz w:val="16"/>
                <w:szCs w:val="16"/>
                <w:u w:val="none"/>
              </w:rPr>
            </w:pPr>
            <w:r w:rsidDel="00000000" w:rsidR="00000000" w:rsidRPr="00000000">
              <w:rPr>
                <w:sz w:val="16"/>
                <w:szCs w:val="16"/>
                <w:rtl w:val="0"/>
              </w:rPr>
              <w:t xml:space="preserve">EHR API call</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3D">
            <w:pPr>
              <w:spacing w:after="100" w:before="80" w:lineRule="auto"/>
              <w:rPr>
                <w:sz w:val="20"/>
                <w:szCs w:val="20"/>
              </w:rPr>
            </w:pPr>
            <w:r w:rsidDel="00000000" w:rsidR="00000000" w:rsidRPr="00000000">
              <w:rPr>
                <w:b w:val="1"/>
                <w:bCs w:val="1"/>
                <w:color w:val="1f4e79"/>
                <w:sz w:val="18"/>
                <w:szCs w:val="18"/>
                <w:rtl w:val="0"/>
              </w:rPr>
              <w:t xml:space="preserve">Risk Calculation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E">
            <w:pPr>
              <w:spacing w:after="100" w:before="80" w:lineRule="auto"/>
              <w:rPr>
                <w:sz w:val="20"/>
                <w:szCs w:val="20"/>
              </w:rPr>
            </w:pPr>
            <w:r w:rsidDel="00000000" w:rsidR="00000000" w:rsidRPr="00000000">
              <w:rPr>
                <w:sz w:val="18"/>
                <w:szCs w:val="18"/>
                <w:rtl w:val="0"/>
              </w:rPr>
              <w:t xml:space="preserve">A finalized risk score is calculated by the wearable risk score and risk modification.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3F">
            <w:pPr>
              <w:numPr>
                <w:ilvl w:val="0"/>
                <w:numId w:val="1"/>
              </w:numPr>
              <w:spacing w:after="20" w:before="20" w:lineRule="auto"/>
              <w:ind w:left="720" w:hanging="360"/>
              <w:rPr>
                <w:sz w:val="20"/>
                <w:szCs w:val="20"/>
              </w:rPr>
            </w:pPr>
            <w:r w:rsidDel="00000000" w:rsidR="00000000" w:rsidRPr="00000000">
              <w:rPr>
                <w:sz w:val="16"/>
                <w:szCs w:val="16"/>
                <w:rtl w:val="0"/>
              </w:rPr>
              <w:t xml:space="preserve">Risk Score Calculation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40">
            <w:pPr>
              <w:spacing w:after="100" w:before="80" w:lineRule="auto"/>
              <w:rPr>
                <w:sz w:val="20"/>
                <w:szCs w:val="20"/>
              </w:rPr>
            </w:pPr>
            <w:r w:rsidDel="00000000" w:rsidR="00000000" w:rsidRPr="00000000">
              <w:rPr>
                <w:b w:val="1"/>
                <w:bCs w:val="1"/>
                <w:color w:val="1f4e79"/>
                <w:sz w:val="18"/>
                <w:szCs w:val="18"/>
                <w:rtl w:val="0"/>
              </w:rPr>
              <w:t xml:space="preserve">Risk Flag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1">
            <w:pPr>
              <w:spacing w:after="100" w:before="80" w:lineRule="auto"/>
              <w:rPr>
                <w:sz w:val="20"/>
                <w:szCs w:val="20"/>
              </w:rPr>
            </w:pPr>
            <w:r w:rsidDel="00000000" w:rsidR="00000000" w:rsidRPr="00000000">
              <w:rPr>
                <w:sz w:val="18"/>
                <w:szCs w:val="18"/>
                <w:rtl w:val="0"/>
              </w:rPr>
              <w:t xml:space="preserve">Risk score determines if a risk flag should be set. If risk is Medium / High, the risk flag is set to patient follow up. If risk is critical, risk score is set to provider escalation. EHR API is called to set the risk flag. EHR rules used to set follow up actions.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42">
            <w:pPr>
              <w:numPr>
                <w:ilvl w:val="0"/>
                <w:numId w:val="1"/>
              </w:numPr>
              <w:spacing w:after="20" w:before="20" w:lineRule="auto"/>
              <w:ind w:left="720" w:hanging="360"/>
              <w:rPr>
                <w:sz w:val="20"/>
                <w:szCs w:val="20"/>
              </w:rPr>
            </w:pPr>
            <w:r w:rsidDel="00000000" w:rsidR="00000000" w:rsidRPr="00000000">
              <w:rPr>
                <w:sz w:val="16"/>
                <w:szCs w:val="16"/>
                <w:rtl w:val="0"/>
              </w:rPr>
              <w:t xml:space="preserve">Risk flag</w:t>
            </w:r>
          </w:p>
          <w:p w:rsidR="00000000" w:rsidDel="00000000" w:rsidP="00000000" w:rsidRDefault="00000000" w:rsidRPr="00000000" w14:paraId="00000043">
            <w:pPr>
              <w:numPr>
                <w:ilvl w:val="0"/>
                <w:numId w:val="1"/>
              </w:numPr>
              <w:spacing w:after="20" w:before="20" w:lineRule="auto"/>
              <w:ind w:left="720" w:hanging="360"/>
              <w:rPr>
                <w:sz w:val="16"/>
                <w:szCs w:val="16"/>
                <w:u w:val="none"/>
              </w:rPr>
            </w:pPr>
            <w:r w:rsidDel="00000000" w:rsidR="00000000" w:rsidRPr="00000000">
              <w:rPr>
                <w:sz w:val="16"/>
                <w:szCs w:val="16"/>
                <w:rtl w:val="0"/>
              </w:rPr>
              <w:t xml:space="preserve">Patient follow up</w:t>
            </w:r>
          </w:p>
          <w:p w:rsidR="00000000" w:rsidDel="00000000" w:rsidP="00000000" w:rsidRDefault="00000000" w:rsidRPr="00000000" w14:paraId="00000044">
            <w:pPr>
              <w:numPr>
                <w:ilvl w:val="0"/>
                <w:numId w:val="1"/>
              </w:numPr>
              <w:spacing w:after="20" w:before="20" w:lineRule="auto"/>
              <w:ind w:left="720" w:hanging="360"/>
              <w:rPr>
                <w:sz w:val="16"/>
                <w:szCs w:val="16"/>
                <w:u w:val="none"/>
              </w:rPr>
            </w:pPr>
            <w:r w:rsidDel="00000000" w:rsidR="00000000" w:rsidRPr="00000000">
              <w:rPr>
                <w:sz w:val="16"/>
                <w:szCs w:val="16"/>
                <w:rtl w:val="0"/>
              </w:rPr>
              <w:t xml:space="preserve">Provider escalation</w:t>
            </w:r>
          </w:p>
          <w:p w:rsidR="00000000" w:rsidDel="00000000" w:rsidP="00000000" w:rsidRDefault="00000000" w:rsidRPr="00000000" w14:paraId="00000045">
            <w:pPr>
              <w:numPr>
                <w:ilvl w:val="0"/>
                <w:numId w:val="1"/>
              </w:numPr>
              <w:spacing w:after="20" w:before="20" w:lineRule="auto"/>
              <w:ind w:left="720" w:hanging="360"/>
              <w:rPr>
                <w:sz w:val="16"/>
                <w:szCs w:val="16"/>
                <w:u w:val="none"/>
              </w:rPr>
            </w:pPr>
            <w:r w:rsidDel="00000000" w:rsidR="00000000" w:rsidRPr="00000000">
              <w:rPr>
                <w:sz w:val="16"/>
                <w:szCs w:val="16"/>
                <w:rtl w:val="0"/>
              </w:rPr>
              <w:t xml:space="preserve">EHR API call sets flag</w:t>
            </w:r>
          </w:p>
          <w:p w:rsidR="00000000" w:rsidDel="00000000" w:rsidP="00000000" w:rsidRDefault="00000000" w:rsidRPr="00000000" w14:paraId="00000046">
            <w:pPr>
              <w:numPr>
                <w:ilvl w:val="0"/>
                <w:numId w:val="1"/>
              </w:numPr>
              <w:spacing w:after="20" w:before="20" w:lineRule="auto"/>
              <w:ind w:left="720" w:hanging="360"/>
              <w:rPr>
                <w:sz w:val="16"/>
                <w:szCs w:val="16"/>
                <w:u w:val="none"/>
              </w:rPr>
            </w:pPr>
            <w:r w:rsidDel="00000000" w:rsidR="00000000" w:rsidRPr="00000000">
              <w:rPr>
                <w:sz w:val="16"/>
                <w:szCs w:val="16"/>
                <w:rtl w:val="0"/>
              </w:rPr>
              <w:t xml:space="preserve">EHR configuration</w:t>
              <w:tab/>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Mar>
              <w:top w:w="80.0" w:type="dxa"/>
              <w:left w:w="120.0" w:type="dxa"/>
              <w:bottom w:w="80.0" w:type="dxa"/>
              <w:right w:w="120.0" w:type="dxa"/>
            </w:tcMar>
          </w:tcPr>
          <w:p w:rsidR="00000000" w:rsidDel="00000000" w:rsidP="00000000" w:rsidRDefault="00000000" w:rsidRPr="00000000" w14:paraId="00000047">
            <w:pPr>
              <w:spacing w:after="100" w:before="80" w:lineRule="auto"/>
              <w:rPr>
                <w:sz w:val="20"/>
                <w:szCs w:val="20"/>
              </w:rPr>
            </w:pPr>
            <w:r w:rsidDel="00000000" w:rsidR="00000000" w:rsidRPr="00000000">
              <w:rPr>
                <w:b w:val="1"/>
                <w:bCs w:val="1"/>
                <w:color w:val="1f4e79"/>
                <w:sz w:val="18"/>
                <w:szCs w:val="18"/>
                <w:rtl w:val="0"/>
              </w:rPr>
              <w:t xml:space="preserve">Risk Dashboard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8">
            <w:pPr>
              <w:spacing w:after="100" w:before="80" w:lineRule="auto"/>
              <w:rPr>
                <w:sz w:val="20"/>
                <w:szCs w:val="20"/>
              </w:rPr>
            </w:pPr>
            <w:r w:rsidDel="00000000" w:rsidR="00000000" w:rsidRPr="00000000">
              <w:rPr>
                <w:sz w:val="18"/>
                <w:szCs w:val="18"/>
                <w:rtl w:val="0"/>
              </w:rPr>
              <w:t xml:space="preserve">Dashboard displays patient risk scores and flag decision with auditable reasoning for risk scores.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49">
            <w:pPr>
              <w:numPr>
                <w:ilvl w:val="0"/>
                <w:numId w:val="1"/>
              </w:numPr>
              <w:spacing w:after="20" w:before="20" w:lineRule="auto"/>
              <w:ind w:left="600" w:hanging="300"/>
              <w:rPr>
                <w:sz w:val="16"/>
                <w:szCs w:val="16"/>
              </w:rPr>
            </w:pPr>
            <w:r w:rsidDel="00000000" w:rsidR="00000000" w:rsidRPr="00000000">
              <w:rPr>
                <w:sz w:val="16"/>
                <w:szCs w:val="16"/>
                <w:rtl w:val="0"/>
              </w:rPr>
              <w:t xml:space="preserve">Dashboard with risk reasoning</w:t>
            </w:r>
          </w:p>
        </w:tc>
      </w:tr>
    </w:tbl>
    <w:p w:rsidR="00000000" w:rsidDel="00000000" w:rsidP="00000000" w:rsidRDefault="00000000" w:rsidRPr="00000000" w14:paraId="0000004A">
      <w:pPr>
        <w:spacing w:after="40" w:before="40" w:lineRule="auto"/>
        <w:rPr/>
      </w:pPr>
      <w:r w:rsidDel="00000000" w:rsidR="00000000" w:rsidRPr="00000000">
        <w:rPr>
          <w:rtl w:val="0"/>
        </w:rPr>
      </w:r>
    </w:p>
    <w:p w:rsidR="00000000" w:rsidDel="00000000" w:rsidP="00000000" w:rsidRDefault="00000000" w:rsidRPr="00000000" w14:paraId="0000004B">
      <w:pPr>
        <w:pStyle w:val="Heading2"/>
        <w:spacing w:after="120" w:before="240" w:lineRule="auto"/>
        <w:rPr>
          <w:color w:val="1e3a5f"/>
          <w:sz w:val="32"/>
          <w:szCs w:val="32"/>
        </w:rPr>
      </w:pPr>
      <w:r w:rsidDel="00000000" w:rsidR="00000000" w:rsidRPr="00000000">
        <w:rPr>
          <w:color w:val="1e3a5f"/>
          <w:sz w:val="32"/>
          <w:szCs w:val="32"/>
          <w:rtl w:val="0"/>
        </w:rPr>
        <w:t xml:space="preserve">3. Wearable Input Layer</w:t>
      </w:r>
      <w:r w:rsidDel="00000000" w:rsidR="00000000" w:rsidRPr="00000000">
        <w:rPr>
          <w:rtl w:val="0"/>
        </w:rPr>
      </w:r>
    </w:p>
    <w:p w:rsidR="00000000" w:rsidDel="00000000" w:rsidP="00000000" w:rsidRDefault="00000000" w:rsidRPr="00000000" w14:paraId="0000004C">
      <w:pPr>
        <w:spacing w:after="80" w:before="60" w:lineRule="auto"/>
        <w:rPr>
          <w:color w:val="2c2c2c"/>
        </w:rPr>
      </w:pPr>
      <w:r w:rsidDel="00000000" w:rsidR="00000000" w:rsidRPr="00000000">
        <w:rPr>
          <w:color w:val="2c2c2c"/>
          <w:rtl w:val="0"/>
        </w:rPr>
        <w:t xml:space="preserve">Consumer wearables record several vitals that can provide insight into a user’s current health status. For v1, the focus will be on vitals that are relatively accurate, heart rate (HR), resting heart rate (RHR), heart rate variability (HRV), sleep duration, step count, arterial fibrillation (AF). (see section 9 for open problems and considerations). </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60" w:line="240" w:lineRule="auto"/>
        <w:ind w:left="0" w:right="0" w:firstLine="0"/>
        <w:jc w:val="left"/>
        <w:rPr>
          <w:color w:val="2c2c2c"/>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60" w:line="240" w:lineRule="auto"/>
        <w:ind w:left="0" w:right="0" w:firstLine="0"/>
        <w:jc w:val="left"/>
        <w:rPr>
          <w:color w:val="2c2c2c"/>
        </w:rPr>
      </w:pPr>
      <w:r w:rsidDel="00000000" w:rsidR="00000000" w:rsidRPr="00000000">
        <w:rPr>
          <w:color w:val="2c2c2c"/>
          <w:rtl w:val="0"/>
        </w:rPr>
        <w:t xml:space="preserve">Consumer wearable data will be ingested via an API call. V1 simulates this with a mock API and consumer wearable data. For the purposes of V1, mock API calls should be completed every hour However, in a production use case, the API call would need to be adjusted to work for a variety of consumer wearables and frequency of call should be further scrutinized.</w:t>
      </w: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60" w:line="240" w:lineRule="auto"/>
        <w:ind w:left="0" w:right="0" w:firstLine="0"/>
        <w:jc w:val="left"/>
        <w:rPr>
          <w:color w:val="2c2c2c"/>
        </w:rPr>
      </w:pPr>
      <w:r w:rsidDel="00000000" w:rsidR="00000000" w:rsidRPr="00000000">
        <w:rPr>
          <w:rtl w:val="0"/>
        </w:rPr>
      </w:r>
    </w:p>
    <w:p w:rsidR="00000000" w:rsidDel="00000000" w:rsidP="00000000" w:rsidRDefault="00000000" w:rsidRPr="00000000" w14:paraId="00000050">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pPr>
      <w:r w:rsidDel="00000000" w:rsidR="00000000" w:rsidRPr="00000000">
        <w:rPr>
          <w:color w:val="1e3a5f"/>
          <w:sz w:val="32"/>
          <w:szCs w:val="32"/>
          <w:rtl w:val="0"/>
        </w:rPr>
        <w:t xml:space="preserve">4. Wearable Risk Engine</w:t>
      </w: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The wearable risk engine calculates the risk score for the combination of vitals that is provided by the consumer wearable. This engine will calculate a severity score based on the severity of vitals (0-100 scale). For instance if a patient has the following: HRV: 20, step count: 100, HR compared to RHR: +60, the engine may calculate a score of 97 (severe).</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Once the severity is calculated, a confidence score is calculated. This is based on the duration of the vitals. For instance, if for a large part of the day the wearable did not gather data, confidence may be lower. </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V1 of this model will explore the relationship between the two scores, fine tuning this calculation is an open research question. This risk score is critical for the model to work and should be rigorously validated. Risk calculations should be displayed in the risk dashboard for auditability.</w:t>
      </w:r>
      <w:r w:rsidDel="00000000" w:rsidR="00000000" w:rsidRPr="00000000">
        <w:rPr>
          <w:rtl w:val="0"/>
        </w:rPr>
      </w:r>
    </w:p>
    <w:p w:rsidR="00000000" w:rsidDel="00000000" w:rsidP="00000000" w:rsidRDefault="00000000" w:rsidRPr="00000000" w14:paraId="00000056">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color w:val="1e3a5f"/>
          <w:sz w:val="32"/>
          <w:szCs w:val="32"/>
        </w:rPr>
      </w:pPr>
      <w:r w:rsidDel="00000000" w:rsidR="00000000" w:rsidRPr="00000000">
        <w:rPr>
          <w:color w:val="1e3a5f"/>
          <w:sz w:val="32"/>
          <w:szCs w:val="32"/>
          <w:rtl w:val="0"/>
        </w:rPr>
        <w:t xml:space="preserve">5. EHR Modifier Layer (recommended, not required)</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80" w:line="240" w:lineRule="auto"/>
        <w:ind w:left="0" w:right="0" w:firstLine="0"/>
        <w:jc w:val="left"/>
        <w:rPr>
          <w:color w:val="2c2c2c"/>
        </w:rPr>
      </w:pPr>
      <w:r w:rsidDel="00000000" w:rsidR="00000000" w:rsidRPr="00000000">
        <w:rPr>
          <w:color w:val="2c2c2c"/>
          <w:rtl w:val="0"/>
        </w:rPr>
        <w:t xml:space="preserve">Context contained in the patient chart is critical to understanding patient vitals. For instance, a high heart rate for a patient without any diagnoses should have a different escalation score than a patient diagnosed with congestive heart failure. </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80" w:line="240" w:lineRule="auto"/>
        <w:ind w:left="0" w:right="0" w:firstLine="0"/>
        <w:jc w:val="left"/>
        <w:rPr>
          <w:color w:val="2c2c2c"/>
        </w:rPr>
      </w:pPr>
      <w:r w:rsidDel="00000000" w:rsidR="00000000" w:rsidRPr="00000000">
        <w:rPr>
          <w:color w:val="2c2c2c"/>
          <w:rtl w:val="0"/>
        </w:rPr>
        <w:t xml:space="preserve">The EHR Modifier layer should be an optional layer that allows for an EHR API to be called to ingest specific relevant patient fields. For V1, we will limit these fields to patient problem list (diagnoses) and recent hospitalizations. Focus diagnoses for V1 will be generalized anxiety, congestive heart failure, and history of arrhythmia, and the mock API will be called daily. In a production environment, the API call frequency should be scrutinized and APIs will be EHR dependent.</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80" w:line="240" w:lineRule="auto"/>
        <w:ind w:left="0" w:right="0" w:firstLine="0"/>
        <w:jc w:val="left"/>
        <w:rPr>
          <w:color w:val="2c2c2c"/>
        </w:rPr>
      </w:pPr>
      <w:r w:rsidDel="00000000" w:rsidR="00000000" w:rsidRPr="00000000">
        <w:rPr>
          <w:color w:val="2c2c2c"/>
          <w:rtl w:val="0"/>
        </w:rPr>
        <w:t xml:space="preserve">For each diagnosis in scope, the EHR modifier should give a defined value (0-1.0) that will be used to adjust the vital risk score.</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80" w:line="240" w:lineRule="auto"/>
        <w:ind w:left="0" w:right="0" w:firstLine="0"/>
        <w:jc w:val="left"/>
        <w:rPr>
          <w:color w:val="2c2c2c"/>
        </w:rPr>
      </w:pPr>
      <w:r w:rsidDel="00000000" w:rsidR="00000000" w:rsidRPr="00000000">
        <w:rPr>
          <w:color w:val="2c2c2c"/>
          <w:rtl w:val="0"/>
        </w:rPr>
        <w:t xml:space="preserve">See section 9 for further discussions on open problems with diagnosis handling and EHR reliability.</w:t>
      </w:r>
      <w:r w:rsidDel="00000000" w:rsidR="00000000" w:rsidRPr="00000000">
        <w:rPr>
          <w:rtl w:val="0"/>
        </w:rPr>
      </w:r>
    </w:p>
    <w:p w:rsidR="00000000" w:rsidDel="00000000" w:rsidP="00000000" w:rsidRDefault="00000000" w:rsidRPr="00000000" w14:paraId="0000005B">
      <w:pPr>
        <w:pStyle w:val="Heading2"/>
        <w:spacing w:after="120" w:before="240" w:lineRule="auto"/>
        <w:rPr/>
      </w:pPr>
      <w:r w:rsidDel="00000000" w:rsidR="00000000" w:rsidRPr="00000000">
        <w:rPr>
          <w:color w:val="1e3a5f"/>
          <w:sz w:val="32"/>
          <w:szCs w:val="32"/>
          <w:rtl w:val="0"/>
        </w:rPr>
        <w:t xml:space="preserve">6.</w:t>
      </w:r>
      <w:r w:rsidDel="00000000" w:rsidR="00000000" w:rsidRPr="00000000">
        <w:rPr>
          <w:color w:val="1e3a5f"/>
          <w:sz w:val="32"/>
          <w:szCs w:val="32"/>
          <w:rtl w:val="0"/>
        </w:rPr>
        <w:t xml:space="preserve"> Risk Calculation</w:t>
      </w:r>
      <w:r w:rsidDel="00000000" w:rsidR="00000000" w:rsidRPr="00000000">
        <w:rPr>
          <w:rtl w:val="0"/>
        </w:rPr>
      </w:r>
    </w:p>
    <w:p w:rsidR="00000000" w:rsidDel="00000000" w:rsidP="00000000" w:rsidRDefault="00000000" w:rsidRPr="00000000" w14:paraId="0000005C">
      <w:pPr>
        <w:spacing w:after="80" w:before="60" w:lineRule="auto"/>
        <w:rPr>
          <w:rFonts w:ascii="Arial" w:cs="Arial" w:eastAsia="Arial" w:hAnsi="Arial"/>
          <w:color w:val="2c2c2c"/>
          <w:sz w:val="22"/>
          <w:szCs w:val="22"/>
        </w:rPr>
      </w:pPr>
      <w:r w:rsidDel="00000000" w:rsidR="00000000" w:rsidRPr="00000000">
        <w:rPr>
          <w:color w:val="2c2c2c"/>
          <w:rtl w:val="0"/>
        </w:rPr>
        <w:t xml:space="preserve">The outputs from the previous 2 sections, risk score and EHR modifier, are calculated with the following formula to determine a risk flag:</w:t>
        <w:br w:type="textWrapping"/>
        <w:br w:type="textWrapping"/>
        <w:t xml:space="preserve">(risk score 0-100)*(EHR modifier 0-1.0)=Risk</w:t>
      </w:r>
      <w:r w:rsidDel="00000000" w:rsidR="00000000" w:rsidRPr="00000000">
        <w:rPr>
          <w:rtl w:val="0"/>
        </w:rPr>
      </w:r>
    </w:p>
    <w:p w:rsidR="00000000" w:rsidDel="00000000" w:rsidP="00000000" w:rsidRDefault="00000000" w:rsidRPr="00000000" w14:paraId="0000005D">
      <w:pPr>
        <w:spacing w:after="80" w:before="60" w:lineRule="auto"/>
        <w:rPr>
          <w:color w:val="2c2c2c"/>
        </w:rPr>
      </w:pPr>
      <w:r w:rsidDel="00000000" w:rsidR="00000000" w:rsidRPr="00000000">
        <w:rPr>
          <w:rtl w:val="0"/>
        </w:rPr>
      </w:r>
    </w:p>
    <w:p w:rsidR="00000000" w:rsidDel="00000000" w:rsidP="00000000" w:rsidRDefault="00000000" w:rsidRPr="00000000" w14:paraId="0000005E">
      <w:pPr>
        <w:pStyle w:val="Heading2"/>
        <w:spacing w:after="120" w:before="240" w:lineRule="auto"/>
        <w:rPr/>
      </w:pPr>
      <w:r w:rsidDel="00000000" w:rsidR="00000000" w:rsidRPr="00000000">
        <w:rPr>
          <w:color w:val="1e3a5f"/>
          <w:sz w:val="32"/>
          <w:szCs w:val="32"/>
          <w:rtl w:val="0"/>
        </w:rPr>
        <w:t xml:space="preserve">7. Risk Flag</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Once a risk score has been calculated, a flag for risk can be set for the patient. For V1, the following flag structure will be used:</w:t>
      </w:r>
    </w:p>
    <w:p w:rsidR="00000000" w:rsidDel="00000000" w:rsidP="00000000" w:rsidRDefault="00000000" w:rsidRPr="00000000" w14:paraId="00000060">
      <w:pPr>
        <w:spacing w:after="40" w:before="4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tcPr>
          <w:p w:rsidR="00000000" w:rsidDel="00000000" w:rsidP="00000000" w:rsidRDefault="00000000" w:rsidRPr="00000000" w14:paraId="00000061">
            <w:pPr>
              <w:rPr/>
            </w:pPr>
            <w:r w:rsidDel="00000000" w:rsidR="00000000" w:rsidRPr="00000000">
              <w:rPr>
                <w:b w:val="1"/>
                <w:bCs w:val="1"/>
                <w:color w:val="ffffff"/>
                <w:sz w:val="20"/>
                <w:szCs w:val="20"/>
                <w:rtl w:val="0"/>
              </w:rPr>
              <w:t xml:space="preserve">Flag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20.0" w:type="dxa"/>
              <w:bottom w:w="80.0" w:type="dxa"/>
              <w:right w:w="120.0" w:type="dxa"/>
            </w:tcMar>
          </w:tcPr>
          <w:p w:rsidR="00000000" w:rsidDel="00000000" w:rsidP="00000000" w:rsidRDefault="00000000" w:rsidRPr="00000000" w14:paraId="00000062">
            <w:pPr>
              <w:rPr/>
            </w:pPr>
            <w:r w:rsidDel="00000000" w:rsidR="00000000" w:rsidRPr="00000000">
              <w:rPr>
                <w:b w:val="1"/>
                <w:bCs w:val="1"/>
                <w:color w:val="ffffff"/>
                <w:sz w:val="20"/>
                <w:szCs w:val="20"/>
                <w:rtl w:val="0"/>
              </w:rPr>
              <w:t xml:space="preserve">Behavior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63">
            <w:pPr>
              <w:rPr/>
            </w:pPr>
            <w:r w:rsidDel="00000000" w:rsidR="00000000" w:rsidRPr="00000000">
              <w:rPr>
                <w:color w:val="2c2c2c"/>
                <w:sz w:val="20"/>
                <w:szCs w:val="20"/>
                <w:rtl w:val="0"/>
              </w:rPr>
              <w:t xml:space="preserve">Green (0-50)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4">
            <w:pPr>
              <w:rPr/>
            </w:pPr>
            <w:r w:rsidDel="00000000" w:rsidR="00000000" w:rsidRPr="00000000">
              <w:rPr>
                <w:color w:val="2c2c2c"/>
                <w:sz w:val="20"/>
                <w:szCs w:val="20"/>
                <w:rtl w:val="0"/>
              </w:rPr>
              <w:t xml:space="preserve">Vitals are good and/or confidence is low. No action needed, no follow up.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65">
            <w:pPr>
              <w:rPr/>
            </w:pPr>
            <w:r w:rsidDel="00000000" w:rsidR="00000000" w:rsidRPr="00000000">
              <w:rPr>
                <w:color w:val="2c2c2c"/>
                <w:sz w:val="20"/>
                <w:szCs w:val="20"/>
                <w:rtl w:val="0"/>
              </w:rPr>
              <w:t xml:space="preserve">Yellow (&gt;50-80)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6">
            <w:pPr>
              <w:rPr/>
            </w:pPr>
            <w:r w:rsidDel="00000000" w:rsidR="00000000" w:rsidRPr="00000000">
              <w:rPr>
                <w:color w:val="2c2c2c"/>
                <w:sz w:val="20"/>
                <w:szCs w:val="20"/>
                <w:rtl w:val="0"/>
              </w:rPr>
              <w:t xml:space="preserve">Vitals are out of range, conditions may factor in, confidence is medium to high. Patient flagged with intelligent follow up questions if integration is available. Flag patient as potential risk on dashboard.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67">
            <w:pPr>
              <w:rPr/>
            </w:pPr>
            <w:r w:rsidDel="00000000" w:rsidR="00000000" w:rsidRPr="00000000">
              <w:rPr>
                <w:color w:val="2c2c2c"/>
                <w:sz w:val="20"/>
                <w:szCs w:val="20"/>
                <w:rtl w:val="0"/>
              </w:rPr>
              <w:t xml:space="preserve">Red (&gt;80-95)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8">
            <w:pPr>
              <w:rPr/>
            </w:pPr>
            <w:r w:rsidDel="00000000" w:rsidR="00000000" w:rsidRPr="00000000">
              <w:rPr>
                <w:color w:val="2c2c2c"/>
                <w:sz w:val="20"/>
                <w:szCs w:val="20"/>
                <w:rtl w:val="0"/>
              </w:rPr>
              <w:t xml:space="preserve">Vitals are severely out of range, conditions may factor in, confidence high. Provider flagged to follow up with patient if integration available. Flag patient as risk on dashboard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2c2c2c"/>
                <w:sz w:val="20"/>
                <w:szCs w:val="20"/>
              </w:rPr>
            </w:pPr>
            <w:r w:rsidDel="00000000" w:rsidR="00000000" w:rsidRPr="00000000">
              <w:rPr>
                <w:color w:val="2c2c2c"/>
                <w:sz w:val="20"/>
                <w:szCs w:val="20"/>
                <w:rtl w:val="0"/>
              </w:rPr>
              <w:t xml:space="preserve">Critical (&gt;95)</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2c2c2c"/>
                <w:sz w:val="20"/>
                <w:szCs w:val="20"/>
              </w:rPr>
            </w:pPr>
            <w:r w:rsidDel="00000000" w:rsidR="00000000" w:rsidRPr="00000000">
              <w:rPr>
                <w:color w:val="2c2c2c"/>
                <w:sz w:val="20"/>
                <w:szCs w:val="20"/>
                <w:rtl w:val="0"/>
              </w:rPr>
              <w:t xml:space="preserve">Vitals are severely out of range, conditions are present, confidence is high. If integration available, alert provider immediately. Patient needs medical care. Dashboard flags patient as critical risk on dashboard</w:t>
            </w:r>
          </w:p>
        </w:tc>
      </w:tr>
    </w:tbl>
    <w:p w:rsidR="00000000" w:rsidDel="00000000" w:rsidP="00000000" w:rsidRDefault="00000000" w:rsidRPr="00000000" w14:paraId="0000006B">
      <w:pPr>
        <w:spacing w:after="40" w:before="40" w:lineRule="auto"/>
        <w:rPr/>
      </w:pPr>
      <w:r w:rsidDel="00000000" w:rsidR="00000000" w:rsidRPr="00000000">
        <w:rPr>
          <w:rtl w:val="0"/>
        </w:rPr>
      </w:r>
    </w:p>
    <w:p w:rsidR="00000000" w:rsidDel="00000000" w:rsidP="00000000" w:rsidRDefault="00000000" w:rsidRPr="00000000" w14:paraId="0000006C">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color w:val="2e6da4"/>
          <w:sz w:val="26"/>
          <w:szCs w:val="26"/>
        </w:rPr>
      </w:pPr>
      <w:r w:rsidDel="00000000" w:rsidR="00000000" w:rsidRPr="00000000">
        <w:rPr>
          <w:color w:val="1e3a5f"/>
          <w:sz w:val="32"/>
          <w:szCs w:val="32"/>
          <w:rtl w:val="0"/>
        </w:rPr>
        <w:t xml:space="preserve">8. Risk Dashboard</w:t>
      </w:r>
      <w:r w:rsidDel="00000000" w:rsidR="00000000" w:rsidRPr="00000000">
        <w:rPr>
          <w:rtl w:val="0"/>
        </w:rPr>
      </w:r>
    </w:p>
    <w:p w:rsidR="00000000" w:rsidDel="00000000" w:rsidP="00000000" w:rsidRDefault="00000000" w:rsidRPr="00000000" w14:paraId="0000006D">
      <w:pPr>
        <w:spacing w:after="80" w:before="60" w:lineRule="auto"/>
        <w:rPr/>
      </w:pPr>
      <w:r w:rsidDel="00000000" w:rsidR="00000000" w:rsidRPr="00000000">
        <w:rPr>
          <w:color w:val="2c2c2c"/>
          <w:rtl w:val="0"/>
        </w:rPr>
        <w:t xml:space="preserve">The risk flags will also feed into a patient dashboard that displays the risk flag status and reasoning behind status. Statuses should allow auditability into the system decisions and a drilldown view with raw data and risk scoring calculations should be available.</w:t>
      </w:r>
      <w:r w:rsidDel="00000000" w:rsidR="00000000" w:rsidRPr="00000000">
        <w:rPr>
          <w:rtl w:val="0"/>
        </w:rPr>
      </w:r>
    </w:p>
    <w:p w:rsidR="00000000" w:rsidDel="00000000" w:rsidP="00000000" w:rsidRDefault="00000000" w:rsidRPr="00000000" w14:paraId="0000006E">
      <w:pPr>
        <w:spacing w:after="40" w:before="4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decea" w:val="clear"/>
            <w:tcMar>
              <w:top w:w="120.0" w:type="dxa"/>
              <w:left w:w="180.0" w:type="dxa"/>
              <w:bottom w:w="120.0" w:type="dxa"/>
              <w:right w:w="180.0" w:type="dxa"/>
            </w:tcMar>
          </w:tcPr>
          <w:p w:rsidR="00000000" w:rsidDel="00000000" w:rsidP="00000000" w:rsidRDefault="00000000" w:rsidRPr="00000000" w14:paraId="0000006F">
            <w:pPr>
              <w:spacing w:after="60" w:lineRule="auto"/>
              <w:rPr/>
            </w:pPr>
            <w:r w:rsidDel="00000000" w:rsidR="00000000" w:rsidRPr="00000000">
              <w:rPr>
                <w:b w:val="1"/>
                <w:bCs w:val="1"/>
                <w:color w:val="8b1a1a"/>
                <w:sz w:val="20"/>
                <w:szCs w:val="20"/>
                <w:rtl w:val="0"/>
              </w:rPr>
              <w:t xml:space="preserve">Critical Design Principle</w:t>
            </w:r>
            <w:r w:rsidDel="00000000" w:rsidR="00000000" w:rsidRPr="00000000">
              <w:rPr>
                <w:rtl w:val="0"/>
              </w:rPr>
            </w:r>
          </w:p>
          <w:p w:rsidR="00000000" w:rsidDel="00000000" w:rsidP="00000000" w:rsidRDefault="00000000" w:rsidRPr="00000000" w14:paraId="00000070">
            <w:pPr>
              <w:rPr/>
            </w:pPr>
            <w:r w:rsidDel="00000000" w:rsidR="00000000" w:rsidRPr="00000000">
              <w:rPr>
                <w:color w:val="2c2c2c"/>
                <w:sz w:val="20"/>
                <w:szCs w:val="20"/>
                <w:rtl w:val="0"/>
              </w:rPr>
              <w:t xml:space="preserve">The system must be auditable and decision reasoning must be clear. The dashboard is necessary to surface decision reasoning.</w:t>
            </w:r>
            <w:r w:rsidDel="00000000" w:rsidR="00000000" w:rsidRPr="00000000">
              <w:rPr>
                <w:rtl w:val="0"/>
              </w:rPr>
            </w:r>
          </w:p>
        </w:tc>
      </w:tr>
    </w:tbl>
    <w:p w:rsidR="00000000" w:rsidDel="00000000" w:rsidP="00000000" w:rsidRDefault="00000000" w:rsidRPr="00000000" w14:paraId="00000071">
      <w:pPr>
        <w:spacing w:after="40" w:before="40" w:lineRule="auto"/>
        <w:rPr/>
      </w:pPr>
      <w:r w:rsidDel="00000000" w:rsidR="00000000" w:rsidRPr="00000000">
        <w:rPr>
          <w:rtl w:val="0"/>
        </w:rPr>
      </w:r>
    </w:p>
    <w:p w:rsidR="00000000" w:rsidDel="00000000" w:rsidP="00000000" w:rsidRDefault="00000000" w:rsidRPr="00000000" w14:paraId="00000072">
      <w:pPr>
        <w:spacing w:after="40" w:before="40" w:lineRule="auto"/>
        <w:rPr/>
      </w:pPr>
      <w:r w:rsidDel="00000000" w:rsidR="00000000" w:rsidRPr="00000000">
        <w:rPr>
          <w:rtl w:val="0"/>
        </w:rPr>
      </w:r>
    </w:p>
    <w:p w:rsidR="00000000" w:rsidDel="00000000" w:rsidP="00000000" w:rsidRDefault="00000000" w:rsidRPr="00000000" w14:paraId="00000073">
      <w:pPr>
        <w:pStyle w:val="Heading1"/>
        <w:spacing w:after="160" w:before="320" w:lineRule="auto"/>
        <w:rPr/>
      </w:pPr>
      <w:r w:rsidDel="00000000" w:rsidR="00000000" w:rsidRPr="00000000">
        <w:rPr>
          <w:rtl w:val="0"/>
        </w:rPr>
        <w:t xml:space="preserve">9</w:t>
      </w:r>
      <w:r w:rsidDel="00000000" w:rsidR="00000000" w:rsidRPr="00000000">
        <w:rPr>
          <w:rFonts w:ascii="Arial" w:cs="Arial" w:eastAsia="Arial" w:hAnsi="Arial"/>
          <w:b w:val="1"/>
          <w:bCs w:val="1"/>
          <w:color w:val="1e3a5f"/>
          <w:sz w:val="32"/>
          <w:szCs w:val="32"/>
          <w:rtl w:val="0"/>
        </w:rPr>
        <w:t xml:space="preserve">. Open Problems</w:t>
      </w:r>
      <w:r w:rsidDel="00000000" w:rsidR="00000000" w:rsidRPr="00000000">
        <w:rPr>
          <w:rtl w:val="0"/>
        </w:rPr>
      </w:r>
    </w:p>
    <w:p w:rsidR="00000000" w:rsidDel="00000000" w:rsidP="00000000" w:rsidRDefault="00000000" w:rsidRPr="00000000" w14:paraId="00000074">
      <w:pPr>
        <w:spacing w:after="80" w:before="60" w:lineRule="auto"/>
        <w:rPr/>
      </w:pPr>
      <w:r w:rsidDel="00000000" w:rsidR="00000000" w:rsidRPr="00000000">
        <w:rPr>
          <w:rFonts w:ascii="Arial" w:cs="Arial" w:eastAsia="Arial" w:hAnsi="Arial"/>
          <w:color w:val="2c2c2c"/>
          <w:sz w:val="22"/>
          <w:szCs w:val="22"/>
          <w:rtl w:val="0"/>
        </w:rPr>
        <w:t xml:space="preserve">This architecture is practical with current infrastructure in its core components. The following problems are documented honestly, not as failures but as known design challenges requiring resolution before production deployment.</w:t>
      </w:r>
      <w:r w:rsidDel="00000000" w:rsidR="00000000" w:rsidRPr="00000000">
        <w:rPr>
          <w:rtl w:val="0"/>
        </w:rPr>
      </w:r>
    </w:p>
    <w:p w:rsidR="00000000" w:rsidDel="00000000" w:rsidP="00000000" w:rsidRDefault="00000000" w:rsidRPr="00000000" w14:paraId="00000075">
      <w:pPr>
        <w:spacing w:after="40" w:before="4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e3a5f" w:val="clear"/>
            <w:tcMar>
              <w:top w:w="80.0" w:type="dxa"/>
              <w:left w:w="120.0" w:type="dxa"/>
              <w:bottom w:w="80.0" w:type="dxa"/>
              <w:right w:w="120.0" w:type="dxa"/>
            </w:tcMar>
          </w:tcPr>
          <w:p w:rsidR="00000000" w:rsidDel="00000000" w:rsidP="00000000" w:rsidRDefault="00000000" w:rsidRPr="00000000" w14:paraId="00000076">
            <w:pPr>
              <w:rPr/>
            </w:pPr>
            <w:r w:rsidDel="00000000" w:rsidR="00000000" w:rsidRPr="00000000">
              <w:rPr>
                <w:rFonts w:ascii="Arial" w:cs="Arial" w:eastAsia="Arial" w:hAnsi="Arial"/>
                <w:b w:val="1"/>
                <w:bCs w:val="1"/>
                <w:color w:val="ffffff"/>
                <w:sz w:val="20"/>
                <w:szCs w:val="20"/>
                <w:rtl w:val="0"/>
              </w:rPr>
              <w:t xml:space="preserve">Problem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6da4" w:val="clear"/>
            <w:tcMar>
              <w:top w:w="80.0" w:type="dxa"/>
              <w:left w:w="120.0" w:type="dxa"/>
              <w:bottom w:w="80.0" w:type="dxa"/>
              <w:right w:w="120.0" w:type="dxa"/>
            </w:tcMar>
          </w:tcPr>
          <w:p w:rsidR="00000000" w:rsidDel="00000000" w:rsidP="00000000" w:rsidRDefault="00000000" w:rsidRPr="00000000" w14:paraId="00000077">
            <w:pPr>
              <w:rPr/>
            </w:pPr>
            <w:r w:rsidDel="00000000" w:rsidR="00000000" w:rsidRPr="00000000">
              <w:rPr>
                <w:rFonts w:ascii="Arial" w:cs="Arial" w:eastAsia="Arial" w:hAnsi="Arial"/>
                <w:b w:val="1"/>
                <w:bCs w:val="1"/>
                <w:color w:val="ffffff"/>
                <w:sz w:val="20"/>
                <w:szCs w:val="20"/>
                <w:rtl w:val="0"/>
              </w:rPr>
              <w:t xml:space="preserve">Status and Mitigation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78">
            <w:pPr>
              <w:rPr/>
            </w:pPr>
            <w:r w:rsidDel="00000000" w:rsidR="00000000" w:rsidRPr="00000000">
              <w:rPr>
                <w:color w:val="2c2c2c"/>
                <w:sz w:val="20"/>
                <w:szCs w:val="20"/>
                <w:rtl w:val="0"/>
              </w:rPr>
              <w:t xml:space="preserve">EHR problem lists are often not well maintained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9">
            <w:pPr>
              <w:rPr/>
            </w:pPr>
            <w:r w:rsidDel="00000000" w:rsidR="00000000" w:rsidRPr="00000000">
              <w:rPr>
                <w:color w:val="2c2c2c"/>
                <w:sz w:val="20"/>
                <w:szCs w:val="20"/>
                <w:rtl w:val="0"/>
              </w:rPr>
              <w:t xml:space="preserve">Often diagnoses are not resolved on problem lists which could lead to additional scoring that should not be relevant for the patient. This is currently unresolved, but would need to be considered before a production implementation.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7A">
            <w:pPr>
              <w:rPr/>
            </w:pPr>
            <w:r w:rsidDel="00000000" w:rsidR="00000000" w:rsidRPr="00000000">
              <w:rPr>
                <w:color w:val="2c2c2c"/>
                <w:sz w:val="20"/>
                <w:szCs w:val="20"/>
                <w:rtl w:val="0"/>
              </w:rPr>
              <w:t xml:space="preserve">Wearables are not equal in accuracy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B">
            <w:pPr>
              <w:rPr/>
            </w:pPr>
            <w:r w:rsidDel="00000000" w:rsidR="00000000" w:rsidRPr="00000000">
              <w:rPr>
                <w:color w:val="2c2c2c"/>
                <w:sz w:val="20"/>
                <w:szCs w:val="20"/>
                <w:rtl w:val="0"/>
              </w:rPr>
              <w:t xml:space="preserve">Consumer wearables are not always accurate and not every consumer wearable is equal in accuracy. While we could make adjustments to vital confidence per wearable model, this would be imperfect. The current architecture does not address this issue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7C">
            <w:pPr>
              <w:rPr/>
            </w:pPr>
            <w:r w:rsidDel="00000000" w:rsidR="00000000" w:rsidRPr="00000000">
              <w:rPr>
                <w:color w:val="2c2c2c"/>
                <w:sz w:val="20"/>
                <w:szCs w:val="20"/>
                <w:rtl w:val="0"/>
              </w:rPr>
              <w:t xml:space="preserve">Risk Scoring requires more research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D">
            <w:pPr>
              <w:rPr/>
            </w:pPr>
            <w:r w:rsidDel="00000000" w:rsidR="00000000" w:rsidRPr="00000000">
              <w:rPr>
                <w:color w:val="2c2c2c"/>
                <w:sz w:val="20"/>
                <w:szCs w:val="20"/>
                <w:rtl w:val="0"/>
              </w:rPr>
              <w:t xml:space="preserve">The risk scoring in V1 is simplified and does not capture the full complexity of wearable monitoring. Scoring will need to be tuned in V1 to account for edge cases and daily human activity. This is an active area of improvement.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4f6f8" w:val="clear"/>
            <w:tcMar>
              <w:top w:w="80.0" w:type="dxa"/>
              <w:left w:w="120.0" w:type="dxa"/>
              <w:bottom w:w="80.0" w:type="dxa"/>
              <w:right w:w="120.0" w:type="dxa"/>
            </w:tcMar>
          </w:tcPr>
          <w:p w:rsidR="00000000" w:rsidDel="00000000" w:rsidP="00000000" w:rsidRDefault="00000000" w:rsidRPr="00000000" w14:paraId="0000007E">
            <w:pPr>
              <w:rPr/>
            </w:pPr>
            <w:r w:rsidDel="00000000" w:rsidR="00000000" w:rsidRPr="00000000">
              <w:rPr>
                <w:color w:val="2c2c2c"/>
                <w:sz w:val="20"/>
                <w:szCs w:val="20"/>
                <w:rtl w:val="0"/>
              </w:rPr>
              <w:t xml:space="preserve">Diagnosis scoring requires clinical expertise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F">
            <w:pPr>
              <w:rPr/>
            </w:pPr>
            <w:r w:rsidDel="00000000" w:rsidR="00000000" w:rsidRPr="00000000">
              <w:rPr>
                <w:color w:val="2c2c2c"/>
                <w:sz w:val="20"/>
                <w:szCs w:val="20"/>
                <w:rtl w:val="0"/>
              </w:rPr>
              <w:t xml:space="preserve">Each diagnosis needs an individual score that accurately represents how it impacts the interpretation of the diagnosis. This would require both clinical input and tuning for all supported diagnoses.</w:t>
            </w:r>
            <w:r w:rsidDel="00000000" w:rsidR="00000000" w:rsidRPr="00000000">
              <w:rPr>
                <w:rtl w:val="0"/>
              </w:rPr>
            </w:r>
          </w:p>
        </w:tc>
      </w:tr>
    </w:tbl>
    <w:p w:rsidR="00000000" w:rsidDel="00000000" w:rsidP="00000000" w:rsidRDefault="00000000" w:rsidRPr="00000000" w14:paraId="00000080">
      <w:pPr>
        <w:spacing w:after="40" w:before="40" w:lineRule="auto"/>
        <w:rPr/>
      </w:pPr>
      <w:r w:rsidDel="00000000" w:rsidR="00000000" w:rsidRPr="00000000">
        <w:rPr>
          <w:rtl w:val="0"/>
        </w:rPr>
      </w:r>
    </w:p>
    <w:p w:rsidR="00000000" w:rsidDel="00000000" w:rsidP="00000000" w:rsidRDefault="00000000" w:rsidRPr="00000000" w14:paraId="00000081">
      <w:pPr>
        <w:pStyle w:val="Heading1"/>
        <w:rPr/>
      </w:pPr>
      <w:bookmarkStart w:colFirst="0" w:colLast="0" w:name="_e4c4j8r1hqf1" w:id="0"/>
      <w:bookmarkEnd w:id="0"/>
      <w:r w:rsidDel="00000000" w:rsidR="00000000" w:rsidRPr="00000000">
        <w:rPr>
          <w:rtl w:val="0"/>
        </w:rPr>
        <w:t xml:space="preserve">9. Compliance and Security</w:t>
      </w:r>
    </w:p>
    <w:p w:rsidR="00000000" w:rsidDel="00000000" w:rsidP="00000000" w:rsidRDefault="00000000" w:rsidRPr="00000000" w14:paraId="00000082">
      <w:pPr>
        <w:rPr/>
      </w:pPr>
      <w:r w:rsidDel="00000000" w:rsidR="00000000" w:rsidRPr="00000000">
        <w:rPr>
          <w:rtl w:val="0"/>
        </w:rPr>
        <w:t xml:space="preserve">This framework is operating under the assumption that only mock data is to be used. Given the sensitive nature of the data that would be used in a production model, additional compliance and security measures would be needed to support this. Below are some additional requirements, however, this is a non-exhaustive list.</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numPr>
          <w:ilvl w:val="0"/>
          <w:numId w:val="2"/>
        </w:numPr>
        <w:ind w:left="720" w:hanging="360"/>
        <w:rPr>
          <w:u w:val="none"/>
        </w:rPr>
      </w:pPr>
      <w:r w:rsidDel="00000000" w:rsidR="00000000" w:rsidRPr="00000000">
        <w:rPr>
          <w:rtl w:val="0"/>
        </w:rPr>
        <w:t xml:space="preserve">Patient dashboard would need security access dependent on provider / patient relationship with authentication for access.</w:t>
      </w:r>
    </w:p>
    <w:p w:rsidR="00000000" w:rsidDel="00000000" w:rsidP="00000000" w:rsidRDefault="00000000" w:rsidRPr="00000000" w14:paraId="00000085">
      <w:pPr>
        <w:numPr>
          <w:ilvl w:val="0"/>
          <w:numId w:val="2"/>
        </w:numPr>
        <w:ind w:left="720" w:hanging="360"/>
        <w:rPr>
          <w:u w:val="none"/>
        </w:rPr>
      </w:pPr>
      <w:r w:rsidDel="00000000" w:rsidR="00000000" w:rsidRPr="00000000">
        <w:rPr>
          <w:rtl w:val="0"/>
        </w:rPr>
        <w:t xml:space="preserve">Integrations would need to be secure and HIPAA compliant</w:t>
      </w:r>
    </w:p>
    <w:p w:rsidR="00000000" w:rsidDel="00000000" w:rsidP="00000000" w:rsidRDefault="00000000" w:rsidRPr="00000000" w14:paraId="00000086">
      <w:pPr>
        <w:numPr>
          <w:ilvl w:val="0"/>
          <w:numId w:val="2"/>
        </w:numPr>
        <w:ind w:left="720" w:hanging="360"/>
        <w:rPr>
          <w:u w:val="none"/>
        </w:rPr>
      </w:pPr>
      <w:r w:rsidDel="00000000" w:rsidR="00000000" w:rsidRPr="00000000">
        <w:rPr>
          <w:rtl w:val="0"/>
        </w:rPr>
        <w:t xml:space="preserve">Integrations would require BAAs</w:t>
      </w:r>
    </w:p>
    <w:p w:rsidR="00000000" w:rsidDel="00000000" w:rsidP="00000000" w:rsidRDefault="00000000" w:rsidRPr="00000000" w14:paraId="00000087">
      <w:pPr>
        <w:numPr>
          <w:ilvl w:val="0"/>
          <w:numId w:val="2"/>
        </w:numPr>
        <w:ind w:left="720" w:hanging="360"/>
        <w:rPr>
          <w:u w:val="none"/>
        </w:rPr>
      </w:pPr>
      <w:r w:rsidDel="00000000" w:rsidR="00000000" w:rsidRPr="00000000">
        <w:rPr>
          <w:rtl w:val="0"/>
        </w:rPr>
        <w:t xml:space="preserve">Patient consent would need to be gathered and documented to provide both EHR access and clinician access to wearable data.</w:t>
      </w:r>
    </w:p>
    <w:p w:rsidR="00000000" w:rsidDel="00000000" w:rsidP="00000000" w:rsidRDefault="00000000" w:rsidRPr="00000000" w14:paraId="00000088">
      <w:pPr>
        <w:numPr>
          <w:ilvl w:val="0"/>
          <w:numId w:val="2"/>
        </w:numPr>
        <w:ind w:left="720" w:hanging="360"/>
        <w:rPr>
          <w:u w:val="none"/>
        </w:rPr>
      </w:pPr>
      <w:r w:rsidDel="00000000" w:rsidR="00000000" w:rsidRPr="00000000">
        <w:rPr>
          <w:rtl w:val="0"/>
        </w:rPr>
        <w:t xml:space="preserve">A balance between auditability and minimal patient data storage would need to be addressed.</w:t>
      </w:r>
      <w:r w:rsidDel="00000000" w:rsidR="00000000" w:rsidRPr="00000000">
        <w:rPr>
          <w:rtl w:val="0"/>
        </w:rPr>
      </w:r>
    </w:p>
    <w:p w:rsidR="00000000" w:rsidDel="00000000" w:rsidP="00000000" w:rsidRDefault="00000000" w:rsidRPr="00000000" w14:paraId="00000089">
      <w:pPr>
        <w:pBdr>
          <w:bottom w:color="d6e4f0" w:space="1" w:sz="4" w:val="single"/>
        </w:pBdr>
        <w:spacing w:after="120" w:before="120" w:lineRule="auto"/>
        <w:rPr/>
      </w:pPr>
      <w:r w:rsidDel="00000000" w:rsidR="00000000" w:rsidRPr="00000000">
        <w:rPr>
          <w:rtl w:val="0"/>
        </w:rPr>
      </w:r>
    </w:p>
    <w:p w:rsidR="00000000" w:rsidDel="00000000" w:rsidP="00000000" w:rsidRDefault="00000000" w:rsidRPr="00000000" w14:paraId="0000008A">
      <w:pPr>
        <w:spacing w:after="40" w:before="80" w:lineRule="auto"/>
        <w:jc w:val="center"/>
        <w:rPr/>
      </w:pPr>
      <w:r w:rsidDel="00000000" w:rsidR="00000000" w:rsidRPr="00000000">
        <w:rPr>
          <w:rFonts w:ascii="Arial" w:cs="Arial" w:eastAsia="Arial" w:hAnsi="Arial"/>
          <w:i w:val="1"/>
          <w:iCs w:val="1"/>
          <w:color w:val="555555"/>
          <w:sz w:val="18"/>
          <w:szCs w:val="18"/>
          <w:rtl w:val="0"/>
        </w:rPr>
        <w:t xml:space="preserve">February 2026 · v</w:t>
      </w:r>
      <w:r w:rsidDel="00000000" w:rsidR="00000000" w:rsidRPr="00000000">
        <w:rPr>
          <w:i w:val="1"/>
          <w:iCs w:val="1"/>
          <w:color w:val="555555"/>
          <w:sz w:val="18"/>
          <w:szCs w:val="18"/>
          <w:rtl w:val="0"/>
        </w:rPr>
        <w:t xml:space="preserve">1</w:t>
      </w:r>
      <w:r w:rsidDel="00000000" w:rsidR="00000000" w:rsidRPr="00000000">
        <w:rPr>
          <w:rtl w:val="0"/>
        </w:rPr>
      </w:r>
    </w:p>
    <w:p w:rsidR="00000000" w:rsidDel="00000000" w:rsidP="00000000" w:rsidRDefault="00000000" w:rsidRPr="00000000" w14:paraId="0000008B">
      <w:pPr>
        <w:spacing w:after="0" w:before="0" w:lineRule="auto"/>
        <w:jc w:val="center"/>
        <w:rPr/>
      </w:pPr>
      <w:r w:rsidDel="00000000" w:rsidR="00000000" w:rsidRPr="00000000">
        <w:rPr>
          <w:rFonts w:ascii="Arial" w:cs="Arial" w:eastAsia="Arial" w:hAnsi="Arial"/>
          <w:i w:val="1"/>
          <w:iCs w:val="1"/>
          <w:color w:val="555555"/>
          <w:sz w:val="18"/>
          <w:szCs w:val="18"/>
          <w:rtl w:val="0"/>
        </w:rPr>
        <w:t xml:space="preserve">Licensed under Apache 2.0. This document may be freely shared, cited, and extended.</w:t>
      </w: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0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1e3a5f"/>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2e6da4"/>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