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1D2ED">
      <w:pPr>
        <w:spacing w:after="40"/>
        <w:jc w:val="center"/>
      </w:pPr>
      <w:r>
        <w:rPr>
          <w:rFonts w:ascii="黑体" w:hAnsi="黑体" w:eastAsia="黑体"/>
          <w:b/>
          <w:sz w:val="30"/>
        </w:rPr>
        <w:t>比纳营养食品公司</w:t>
      </w:r>
      <w:bookmarkStart w:id="0" w:name="_GoBack"/>
      <w:bookmarkEnd w:id="0"/>
      <w:r>
        <w:rPr>
          <w:rFonts w:ascii="黑体" w:hAnsi="黑体" w:eastAsia="黑体"/>
          <w:b/>
          <w:sz w:val="30"/>
        </w:rPr>
        <w:t>案例</w:t>
      </w:r>
    </w:p>
    <w:p w14:paraId="244E5D90">
      <w:pPr>
        <w:spacing w:before="60" w:after="40" w:line="252" w:lineRule="auto"/>
      </w:pPr>
      <w:r>
        <w:rPr>
          <w:rFonts w:ascii="黑体" w:hAnsi="黑体" w:eastAsia="黑体"/>
          <w:b/>
          <w:sz w:val="23"/>
        </w:rPr>
        <w:t>背景</w:t>
      </w:r>
    </w:p>
    <w:p w14:paraId="0E023B8D">
      <w:pPr>
        <w:spacing w:after="40" w:line="252" w:lineRule="auto"/>
      </w:pPr>
      <w:r>
        <w:rPr>
          <w:rFonts w:ascii="宋体" w:hAnsi="宋体" w:eastAsia="宋体"/>
          <w:b w:val="0"/>
          <w:sz w:val="19"/>
        </w:rPr>
        <w:t>比纳主营婴儿食品，苹果汁占销售额 30% 且标签"100% 纯果汁、无糖"；雀巢并购后要求扭亏。6/28 安德森得知主力供应商 Universal 浓缩苹果汁疑似糖水掺假，仓库尚存由其调制的成品约 70 万箱（8 周供应），而 PAI/FDA 检测方法尚未获官方采纳。</w:t>
      </w:r>
    </w:p>
    <w:p w14:paraId="4F276202">
      <w:pPr>
        <w:spacing w:before="60" w:after="40" w:line="252" w:lineRule="auto"/>
        <w:rPr>
          <w:rFonts w:ascii="黑体" w:hAnsi="黑体" w:eastAsia="黑体"/>
          <w:b/>
          <w:sz w:val="23"/>
        </w:rPr>
      </w:pPr>
      <w:r>
        <w:rPr>
          <w:rFonts w:hint="eastAsia" w:ascii="黑体" w:hAnsi="黑体" w:eastAsia="黑体"/>
          <w:b/>
          <w:sz w:val="23"/>
        </w:rPr>
        <w:t>问题一：如果你是安德森，在 6 月 28 日你对事态作何评估？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6F3C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</w:tcPr>
          <w:p w14:paraId="484D4076">
            <w:pPr>
              <w:spacing w:after="0" w:line="240" w:lineRule="auto"/>
            </w:pPr>
          </w:p>
        </w:tc>
        <w:tc>
          <w:tcPr>
            <w:tcW w:w="3475" w:type="dxa"/>
          </w:tcPr>
          <w:p w14:paraId="4EDD2C70">
            <w:pPr>
              <w:spacing w:after="0" w:line="240" w:lineRule="auto"/>
            </w:pPr>
            <w:r>
              <w:rPr>
                <w:b/>
              </w:rPr>
              <w:t>紧急：低</w:t>
            </w:r>
          </w:p>
        </w:tc>
        <w:tc>
          <w:tcPr>
            <w:tcW w:w="3475" w:type="dxa"/>
          </w:tcPr>
          <w:p w14:paraId="3FE7F0A2">
            <w:pPr>
              <w:spacing w:after="0" w:line="240" w:lineRule="auto"/>
            </w:pPr>
            <w:r>
              <w:rPr>
                <w:b/>
              </w:rPr>
              <w:t>紧急：高</w:t>
            </w:r>
          </w:p>
        </w:tc>
      </w:tr>
      <w:tr w14:paraId="44D8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</w:tcPr>
          <w:p w14:paraId="3818586E">
            <w:pPr>
              <w:spacing w:after="0" w:line="240" w:lineRule="auto"/>
            </w:pPr>
            <w:r>
              <w:rPr>
                <w:b/>
              </w:rPr>
              <w:t>严重：高</w:t>
            </w:r>
          </w:p>
        </w:tc>
        <w:tc>
          <w:tcPr>
            <w:tcW w:w="3475" w:type="dxa"/>
          </w:tcPr>
          <w:p w14:paraId="4F47FD2F">
            <w:pPr>
              <w:spacing w:after="20" w:line="247" w:lineRule="auto"/>
            </w:pPr>
            <w:r>
              <w:rPr>
                <w:rFonts w:ascii="宋体" w:hAnsi="宋体" w:eastAsia="宋体"/>
                <w:b/>
                <w:sz w:val="17"/>
              </w:rPr>
              <w:t>计划治本</w:t>
            </w:r>
          </w:p>
          <w:p w14:paraId="60C6EF39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·独立第三方权威检测</w:t>
            </w:r>
          </w:p>
          <w:p w14:paraId="1CBC3BE8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·QA独立于运营的治理重构</w:t>
            </w:r>
          </w:p>
          <w:p w14:paraId="2169BE95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·长期质量体系修复</w:t>
            </w:r>
          </w:p>
        </w:tc>
        <w:tc>
          <w:tcPr>
            <w:tcW w:w="3475" w:type="dxa"/>
          </w:tcPr>
          <w:p w14:paraId="17CD6794">
            <w:pPr>
              <w:spacing w:after="20" w:line="247" w:lineRule="auto"/>
            </w:pPr>
            <w:r>
              <w:rPr>
                <w:rFonts w:ascii="宋体" w:hAnsi="宋体" w:eastAsia="宋体"/>
                <w:b/>
                <w:sz w:val="17"/>
              </w:rPr>
              <w:t>立即优先</w:t>
            </w:r>
          </w:p>
          <w:p w14:paraId="2273D75F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·停售/隔离70万箱库存</w:t>
            </w:r>
          </w:p>
          <w:p w14:paraId="3D625E9B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·断供Universal+替代供应商</w:t>
            </w:r>
          </w:p>
          <w:p w14:paraId="2099CADC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·下架问题成品</w:t>
            </w:r>
          </w:p>
        </w:tc>
      </w:tr>
      <w:tr w14:paraId="3583C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</w:tcPr>
          <w:p w14:paraId="2F5E40EF">
            <w:pPr>
              <w:spacing w:after="0" w:line="240" w:lineRule="auto"/>
            </w:pPr>
            <w:r>
              <w:rPr>
                <w:b/>
              </w:rPr>
              <w:t>严重：低</w:t>
            </w:r>
          </w:p>
        </w:tc>
        <w:tc>
          <w:tcPr>
            <w:tcW w:w="3475" w:type="dxa"/>
          </w:tcPr>
          <w:p w14:paraId="29AD3B40">
            <w:pPr>
              <w:spacing w:after="20" w:line="247" w:lineRule="auto"/>
            </w:pPr>
            <w:r>
              <w:rPr>
                <w:rFonts w:ascii="宋体" w:hAnsi="宋体" w:eastAsia="宋体"/>
                <w:b/>
                <w:sz w:val="17"/>
              </w:rPr>
              <w:t>监控搁置</w:t>
            </w:r>
          </w:p>
          <w:p w14:paraId="3C9C0AD0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·历史旧账(SIRA)复盘</w:t>
            </w:r>
          </w:p>
          <w:p w14:paraId="69E377BF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·核实PAI动机</w:t>
            </w:r>
          </w:p>
        </w:tc>
        <w:tc>
          <w:tcPr>
            <w:tcW w:w="3475" w:type="dxa"/>
          </w:tcPr>
          <w:p w14:paraId="757C1B66">
            <w:pPr>
              <w:spacing w:after="20" w:line="247" w:lineRule="auto"/>
            </w:pPr>
            <w:r>
              <w:rPr>
                <w:rFonts w:ascii="宋体" w:hAnsi="宋体" w:eastAsia="宋体"/>
                <w:b/>
                <w:sz w:val="17"/>
              </w:rPr>
              <w:t>快速授权</w:t>
            </w:r>
          </w:p>
          <w:p w14:paraId="4CEA2335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·律师/PAI诉讼协调</w:t>
            </w:r>
          </w:p>
          <w:p w14:paraId="0270CC44">
            <w:pPr>
              <w:spacing w:after="20" w:line="247" w:lineRule="auto"/>
            </w:pPr>
            <w:r>
              <w:rPr>
                <w:rFonts w:ascii="宋体" w:hAnsi="宋体" w:eastAsia="宋体"/>
                <w:sz w:val="17"/>
              </w:rPr>
              <w:t>·与雀巢沟通口径</w:t>
            </w:r>
          </w:p>
        </w:tc>
      </w:tr>
    </w:tbl>
    <w:p w14:paraId="4C602547">
      <w:pPr>
        <w:spacing w:after="40" w:line="252" w:lineRule="auto"/>
      </w:pPr>
      <w:r>
        <w:rPr>
          <w:rFonts w:ascii="宋体" w:hAnsi="宋体" w:eastAsia="宋体"/>
          <w:b w:val="0"/>
          <w:sz w:val="19"/>
        </w:rPr>
        <w:t>最棘手为右上"继续销售掺假库存"（高严重·高紧急），须当天第一优先；"独立检测/治理重构"虽严重但属排期治本项。掺假可能性高（价格低25%、果糖/葡萄糖1:1、SIRA两次异常、雀巢报告），但官方认证缺，应假定最坏并立即独立核实。</w:t>
      </w:r>
    </w:p>
    <w:p w14:paraId="5601D591">
      <w:pPr>
        <w:spacing w:before="60" w:after="40" w:line="252" w:lineRule="auto"/>
      </w:pPr>
      <w:r>
        <w:rPr>
          <w:rFonts w:hint="eastAsia" w:ascii="黑体" w:hAnsi="黑体" w:eastAsia="黑体"/>
          <w:b/>
          <w:sz w:val="23"/>
        </w:rPr>
        <w:t>问题二：驾驭局势的困难、难度与责任归属</w:t>
      </w:r>
    </w:p>
    <w:p w14:paraId="635E70F5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困难：信息不确定（无权威检测法、PAI未获官方采纳）、70万箱与时间压力、财务脆弱（召回或触发雀巢出售）、QA隶属运营的职能错位、下属建议矛盾、伦理-商业张力。</w:t>
      </w:r>
    </w:p>
    <w:p w14:paraId="71D501FE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难度：极高（典型 wicked problem），无完美解——最严则重创财务，最松则把糖水喂给婴儿。</w:t>
      </w:r>
    </w:p>
    <w:p w14:paraId="68362781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责任：主责斯托勒（长期忽视红旗、压制QA）；次责QA/研发（未越级上报、无定论检测）；安德森终责（过度下放质量）；系统责（雀巢松散监管、QA向运营汇报）；源头 Universal 掺假。</w:t>
      </w:r>
    </w:p>
    <w:p w14:paraId="30418D6E">
      <w:pPr>
        <w:pStyle w:val="16"/>
        <w:numPr>
          <w:numId w:val="0"/>
        </w:numPr>
        <w:spacing w:after="20" w:line="247" w:lineRule="auto"/>
        <w:ind w:leftChars="0"/>
      </w:pPr>
      <w:r>
        <w:rPr>
          <w:rFonts w:hint="eastAsia" w:ascii="黑体" w:hAnsi="黑体" w:eastAsia="黑体"/>
          <w:b/>
          <w:sz w:val="23"/>
        </w:rPr>
        <w:t>问题三：建议安德森如何处理？为什么？</w:t>
      </w:r>
    </w:p>
    <w:p w14:paraId="4D642CEE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1 立即断供 Universal，启用第二供应商保供应。</w:t>
      </w:r>
    </w:p>
    <w:p w14:paraId="631DDCBC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2 委托 FDA 认可实验室独立复检，定事实基础。</w:t>
      </w:r>
    </w:p>
    <w:p w14:paraId="76ED00B3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3 70万箱隔离而非继续销售（对婴儿负责）。</w:t>
      </w:r>
    </w:p>
    <w:p w14:paraId="1BB684CF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4 QA 独立于运营、设越级上报通道。</w:t>
      </w:r>
    </w:p>
    <w:p w14:paraId="0E773820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5 主动通报 FDA、配合诉讼、透明沟通雀巢、做财务预案。</w:t>
      </w:r>
    </w:p>
    <w:p w14:paraId="67BE0B23">
      <w:pPr>
        <w:spacing w:after="40" w:line="252" w:lineRule="auto"/>
      </w:pPr>
      <w:r>
        <w:rPr>
          <w:rFonts w:ascii="宋体" w:hAnsi="宋体" w:eastAsia="宋体"/>
          <w:b w:val="0"/>
          <w:sz w:val="19"/>
        </w:rPr>
        <w:t>理由：婴儿安全/欺诈风险远大于短期财务；品牌信誉不可逆；价格、理化、历史检测等旁证已足支撑"先防后证"。</w:t>
      </w:r>
    </w:p>
    <w:p w14:paraId="2A55199D">
      <w:pPr>
        <w:spacing w:before="60" w:after="40" w:line="252" w:lineRule="auto"/>
      </w:pPr>
      <w:r>
        <w:rPr>
          <w:rFonts w:hint="eastAsia" w:ascii="黑体" w:hAnsi="黑体" w:eastAsia="黑体"/>
          <w:b/>
          <w:sz w:val="23"/>
        </w:rPr>
        <w:t>问题四：你猜想安德森会怎么做？为什么？</w:t>
      </w:r>
    </w:p>
    <w:p w14:paraId="743CCC36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更可能"低调拖延、财务优先"：继续销售库存、quietly 换供应商、不主动通报 FDA、把处置交回运营线。</w:t>
      </w:r>
    </w:p>
    <w:p w14:paraId="1EDF8F14">
      <w:pPr>
        <w:pStyle w:val="16"/>
        <w:spacing w:after="20" w:line="247" w:lineRule="auto"/>
      </w:pPr>
      <w:r>
        <w:rPr>
          <w:rFonts w:ascii="宋体" w:hAnsi="宋体" w:eastAsia="宋体"/>
          <w:sz w:val="19"/>
        </w:rPr>
        <w:t>依据：雀巢"不盈利就出售"生死压力；长期放权斯托勒；PAI 不确定性被用作缓冲；律师"避免公众注意"提供合规外衣。</w:t>
      </w:r>
    </w:p>
    <w:p w14:paraId="615AF6E9">
      <w:pPr>
        <w:spacing w:before="60" w:after="40" w:line="252" w:lineRule="auto"/>
      </w:pPr>
      <w:r>
        <w:rPr>
          <w:rFonts w:ascii="黑体" w:hAnsi="黑体" w:eastAsia="黑体"/>
          <w:b/>
          <w:sz w:val="23"/>
        </w:rPr>
        <w:t>小结</w:t>
      </w:r>
    </w:p>
    <w:p w14:paraId="3F4CCB28">
      <w:pPr>
        <w:spacing w:after="40" w:line="252" w:lineRule="auto"/>
      </w:pPr>
      <w:r>
        <w:rPr>
          <w:rFonts w:ascii="宋体" w:hAnsi="宋体" w:eastAsia="宋体"/>
          <w:b w:val="0"/>
          <w:sz w:val="19"/>
        </w:rPr>
        <w:t>核心张力 = 短期财务生存 vs 产品诚信（对婴儿责任）；深层病灶 = QA 隶属运营的治理错位与长期失灵的预警。理想应对：假定最坏、独立验证、隔离敞口、修复治理、主动透明。</w:t>
      </w:r>
    </w:p>
    <w:sectPr>
      <w:pgSz w:w="12240" w:h="15840"/>
      <w:pgMar w:top="737" w:right="907" w:bottom="73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A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998</Words>
  <Characters>1124</Characters>
  <Lines>0</Lines>
  <Paragraphs>0</Paragraphs>
  <TotalTime>8</TotalTime>
  <ScaleCrop>false</ScaleCrop>
  <LinksUpToDate>false</LinksUpToDate>
  <CharactersWithSpaces>1177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Yuen Fai Tse</cp:lastModifiedBy>
  <dcterms:modified xsi:type="dcterms:W3CDTF">2026-10-28T09:02:03Z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eyJoZGlkIjoiNWRiN2EzOTIwNTFkMWRjYjlhM2M2MjEwMTAzOTAyMTAiLCJ1c2VySWQiOiI1NzUwMjA5NjAifQ==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40D642023B37424B87550B1860F52EC2_12</vt:lpwstr>
  </property>
</Properties>
</file>