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E9E92B7">
      <w:pPr>
        <w:pBdr/>
        <w:spacing/>
        <w:ind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eastAsia="Times New Roman" w:cs="Times New Roman"/>
          <w:b/>
          <w:bCs/>
          <w:sz w:val="52"/>
          <w:szCs w:val="52"/>
        </w:rPr>
        <w:t xml:space="preserve">University of Gujra</w:t>
      </w:r>
      <w:r>
        <w:rPr>
          <w:rFonts w:ascii="Times New Roman" w:hAnsi="Times New Roman" w:eastAsia="Times New Roman" w:cs="Times New Roman"/>
          <w:b/>
          <w:bCs/>
          <w:sz w:val="52"/>
          <w:szCs w:val="52"/>
        </w:rPr>
        <w:t xml:space="preserve">t</w:t>
      </w:r>
      <w:r>
        <w:rPr>
          <w:rFonts w:ascii="Times New Roman" w:hAnsi="Times New Roman" w:eastAsia="Times New Roman" w:cs="Times New Roman"/>
          <w:b/>
          <w:bCs/>
          <w:sz w:val="52"/>
          <w:szCs w:val="52"/>
        </w:rPr>
      </w:r>
      <w:r>
        <w:rPr>
          <w:rFonts w:ascii="Times New Roman" w:hAnsi="Times New Roman" w:eastAsia="Times New Roman" w:cs="Times New Roman"/>
          <w:b/>
          <w:bCs/>
          <w:sz w:val="52"/>
          <w:szCs w:val="52"/>
        </w:rPr>
      </w:r>
    </w:p>
    <w:p w14:paraId="00D7E09A">
      <w:pPr>
        <w:pBdr/>
        <w:spacing/>
        <w:ind/>
        <w:jc w:val="center"/>
        <w:rPr>
          <w:rFonts w:ascii="Times New Roman" w:hAnsi="Times New Roman" w:cs="Times New Roman"/>
          <w:b/>
          <w:bCs/>
          <w:color w:val="2f4f6f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d0d0d" w:themeColor="text1" w:themeTint="F2"/>
          <w:sz w:val="40"/>
          <w:szCs w:val="40"/>
        </w:rPr>
        <w:t xml:space="preserve">Department of Software Engineering</w:t>
      </w:r>
      <w:r>
        <w:rPr>
          <w:rFonts w:ascii="Times New Roman" w:hAnsi="Times New Roman" w:eastAsia="Times New Roman" w:cs="Times New Roman"/>
          <w:b/>
          <w:bCs/>
          <w:color w:val="2f4f6f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2f4f6f"/>
          <w:sz w:val="28"/>
          <w:szCs w:val="28"/>
          <w:highlight w:val="none"/>
        </w:rPr>
      </w:r>
    </w:p>
    <w:p w14:paraId="7D72D129">
      <w:pPr>
        <w:pBdr/>
        <w:spacing/>
        <w:ind/>
        <w:jc w:val="center"/>
        <w:rPr>
          <w:rFonts w:ascii="Times New Roman" w:hAnsi="Times New Roman" w:cs="Times New Roman"/>
          <w:b/>
          <w:bCs/>
          <w:color w:val="002a80"/>
          <w:sz w:val="40"/>
          <w:szCs w:val="4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2a80"/>
          <w:sz w:val="40"/>
          <w:szCs w:val="40"/>
          <w:lang w:val="undefined" w:bidi="undefined"/>
        </w:rPr>
      </w:r>
      <w:r>
        <w:rPr>
          <w:rFonts w:ascii="Times New Roman" w:hAnsi="Times New Roman" w:eastAsia="Times New Roman" w:cs="Times New Roman"/>
          <w:b/>
          <w:bCs/>
          <w:color w:val="002a80"/>
          <w:sz w:val="40"/>
          <w:szCs w:val="40"/>
          <w:lang w:val="undefined"/>
        </w:rPr>
        <w:t xml:space="preserve">Cost-Benefit Analysis and Risk Evaluation</w:t>
      </w:r>
      <w:r>
        <w:rPr>
          <w:rFonts w:ascii="Times New Roman" w:hAnsi="Times New Roman" w:eastAsia="Times New Roman" w:cs="Times New Roman"/>
          <w:b/>
          <w:bCs/>
          <w:color w:val="002a80"/>
          <w:sz w:val="40"/>
          <w:szCs w:val="40"/>
          <w:lang w:val="undefined" w:bidi="undefined"/>
        </w:rPr>
      </w:r>
      <w:r>
        <w:rPr>
          <w:rFonts w:ascii="Times New Roman" w:hAnsi="Times New Roman" w:eastAsia="Times New Roman" w:cs="Times New Roman"/>
          <w:b/>
          <w:bCs/>
          <w:color w:val="002a80"/>
          <w:sz w:val="40"/>
          <w:szCs w:val="40"/>
          <w:lang w:val="undefined"/>
        </w:rPr>
      </w:r>
    </w:p>
    <w:p w14:paraId="7F9A8432">
      <w:pPr>
        <w:pBdr/>
        <w:spacing/>
        <w:ind/>
        <w:jc w:val="center"/>
        <w:rPr>
          <w:rFonts w:ascii="Times New Roman" w:hAnsi="Times New Roman" w:cs="Times New Roman"/>
          <w:b/>
          <w:bCs/>
          <w:color w:val="008080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color w:val="008080"/>
          <w:sz w:val="36"/>
          <w:szCs w:val="36"/>
        </w:rPr>
        <w:t xml:space="preserve">Submitted to:</w:t>
      </w:r>
      <w:r>
        <w:rPr>
          <w:rFonts w:ascii="Times New Roman" w:hAnsi="Times New Roman" w:eastAsia="Times New Roman" w:cs="Times New Roman"/>
          <w:b/>
          <w:bCs/>
          <w:color w:val="008080"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color w:val="008080"/>
          <w:sz w:val="36"/>
          <w:szCs w:val="36"/>
        </w:rPr>
      </w:r>
    </w:p>
    <w:p w14:paraId="55D38198">
      <w:pPr>
        <w:pBdr/>
        <w:spacing/>
        <w:ind/>
        <w:jc w:val="center"/>
        <w:rPr>
          <w:rFonts w:ascii="Times New Roman" w:hAnsi="Times New Roman" w:cs="Times New Roman"/>
          <w:b/>
          <w:bCs/>
          <w:color w:val="008080"/>
          <w:sz w:val="36"/>
          <w:szCs w:val="36"/>
          <w14:ligatures w14:val="none"/>
        </w:rPr>
      </w:pPr>
      <w:r>
        <w:rPr>
          <w:rFonts w:ascii="Times New Roman" w:hAnsi="Times New Roman" w:eastAsia="Times New Roman" w:cs="Times New Roman"/>
          <w:color w:val="333333"/>
          <w:sz w:val="36"/>
          <w:szCs w:val="36"/>
        </w:rPr>
        <w:t xml:space="preserve">Miss Ayesha Bibi</w:t>
      </w:r>
      <w:r>
        <w:rPr>
          <w:rFonts w:ascii="Times New Roman" w:hAnsi="Times New Roman" w:eastAsia="Times New Roman" w:cs="Times New Roman"/>
          <w:b/>
          <w:bCs/>
          <w:color w:val="008080"/>
          <w:sz w:val="36"/>
          <w:szCs w:val="36"/>
          <w:lang w:val="undefined" w:bidi="undefined"/>
        </w:rPr>
      </w:r>
      <w:r>
        <w:rPr>
          <w:rFonts w:ascii="Times New Roman" w:hAnsi="Times New Roman" w:eastAsia="Times New Roman" w:cs="Times New Roman"/>
          <w:b/>
          <w:bCs/>
          <w:color w:val="008080"/>
          <w:sz w:val="36"/>
          <w:szCs w:val="36"/>
          <w:lang w:val="undefined"/>
        </w:rPr>
      </w:r>
    </w:p>
    <w:p w14:paraId="11452659">
      <w:pPr>
        <w:pBdr/>
        <w:spacing/>
        <w:ind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8080"/>
          <w:sz w:val="36"/>
          <w:szCs w:val="36"/>
          <w:lang w:val="undefined"/>
        </w:rPr>
        <w:t xml:space="preserve">Subject:</w:t>
      </w:r>
      <w:r>
        <w:rPr>
          <w:rFonts w:ascii="Times New Roman" w:hAnsi="Times New Roman" w:eastAsia="Times New Roman" w:cs="Times New Roman"/>
          <w:b/>
          <w:bCs/>
          <w:color w:val="0d0d0d" w:themeColor="text1" w:themeTint="F2"/>
          <w:sz w:val="28"/>
          <w:szCs w:val="28"/>
          <w:highlight w:val="none"/>
        </w:rPr>
        <w:br/>
      </w:r>
      <w:r>
        <w:rPr>
          <w:rFonts w:ascii="Times New Roman" w:hAnsi="Times New Roman" w:eastAsia="Times New Roman" w:cs="Times New Roman"/>
          <w:color w:val="333333"/>
          <w:sz w:val="36"/>
          <w:szCs w:val="36"/>
          <w:lang w:val="undefined"/>
        </w:rPr>
        <w:t xml:space="preserve">Information Security</w:t>
      </w:r>
      <w:r>
        <w:rPr>
          <w:rFonts w:ascii="Times New Roman" w:hAnsi="Times New Roman" w:eastAsia="Times New Roman" w:cs="Times New Roman"/>
          <w:color w:val="333333"/>
          <w:sz w:val="36"/>
          <w:szCs w:val="36"/>
          <w:lang w:val="undefined" w:bidi="undefined"/>
        </w:rPr>
      </w:r>
      <w:r>
        <w:rPr>
          <w:rFonts w:ascii="Times New Roman" w:hAnsi="Times New Roman" w:eastAsia="Times New Roman" w:cs="Times New Roman"/>
          <w:b/>
          <w:bCs/>
          <w:color w:val="0d0d0d" w:themeColor="text1" w:themeTint="F2"/>
          <w:sz w:val="28"/>
          <w:szCs w:val="28"/>
          <w:highlight w:val="none"/>
        </w:rPr>
      </w:r>
    </w:p>
    <w:p w14:paraId="419BD8D7">
      <w:pPr>
        <w:pBdr/>
        <w:spacing/>
        <w:ind/>
        <w:jc w:val="center"/>
        <w:rPr>
          <w:rFonts w:ascii="Times New Roman" w:hAnsi="Times New Roman" w:cs="Times New Roman"/>
          <w:b/>
          <w:bCs/>
          <w:color w:val="008080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color w:val="008080"/>
          <w:sz w:val="36"/>
          <w:szCs w:val="36"/>
        </w:rPr>
        <w:t xml:space="preserve">Submitted by:</w:t>
      </w:r>
      <w:r>
        <w:rPr>
          <w:rFonts w:ascii="Times New Roman" w:hAnsi="Times New Roman" w:eastAsia="Times New Roman" w:cs="Times New Roman"/>
          <w:b/>
          <w:bCs/>
          <w:color w:val="008080"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color w:val="008080"/>
          <w:sz w:val="36"/>
          <w:szCs w:val="36"/>
        </w:rPr>
      </w:r>
    </w:p>
    <w:p w14:paraId="49A3CDBB">
      <w:pPr>
        <w:pBdr/>
        <w:spacing/>
        <w:ind/>
        <w:jc w:val="center"/>
        <w:rPr>
          <w:rFonts w:ascii="Times New Roman" w:hAnsi="Times New Roman" w:cs="Times New Roman"/>
          <w:color w:val="333333"/>
          <w:sz w:val="36"/>
          <w:szCs w:val="36"/>
        </w:rPr>
      </w:pPr>
      <w:r>
        <w:rPr>
          <w:rFonts w:ascii="Times New Roman" w:hAnsi="Times New Roman" w:eastAsia="Times New Roman" w:cs="Times New Roman"/>
          <w:color w:val="333333"/>
          <w:sz w:val="36"/>
          <w:szCs w:val="36"/>
        </w:rPr>
        <w:t xml:space="preserve">Muhammad Aliyan</w:t>
      </w:r>
      <w:r>
        <w:rPr>
          <w:rFonts w:ascii="Times New Roman" w:hAnsi="Times New Roman" w:eastAsia="Times New Roman" w:cs="Times New Roman"/>
          <w:color w:val="333333"/>
          <w:sz w:val="36"/>
          <w:szCs w:val="36"/>
        </w:rPr>
      </w:r>
      <w:r>
        <w:rPr>
          <w:rFonts w:ascii="Times New Roman" w:hAnsi="Times New Roman" w:eastAsia="Times New Roman" w:cs="Times New Roman"/>
          <w:color w:val="333333"/>
          <w:sz w:val="36"/>
          <w:szCs w:val="36"/>
        </w:rPr>
      </w:r>
    </w:p>
    <w:p w14:paraId="72D56EF5">
      <w:pPr>
        <w:pBdr/>
        <w:spacing/>
        <w:ind/>
        <w:jc w:val="center"/>
        <w:rPr>
          <w:rFonts w:ascii="Times New Roman" w:hAnsi="Times New Roman" w:cs="Times New Roman"/>
          <w:color w:val="333333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color w:val="333333"/>
          <w:sz w:val="36"/>
          <w:szCs w:val="36"/>
        </w:rPr>
        <w:t xml:space="preserve">25021598-245</w:t>
      </w:r>
      <w:r>
        <w:rPr>
          <w:rFonts w:ascii="Times New Roman" w:hAnsi="Times New Roman" w:eastAsia="Times New Roman" w:cs="Times New Roman"/>
          <w:color w:val="333333"/>
          <w:sz w:val="36"/>
          <w:szCs w:val="36"/>
        </w:rPr>
      </w:r>
      <w:r>
        <w:rPr>
          <w:rFonts w:ascii="Times New Roman" w:hAnsi="Times New Roman" w:eastAsia="Times New Roman" w:cs="Times New Roman"/>
          <w:color w:val="333333"/>
          <w:sz w:val="36"/>
          <w:szCs w:val="36"/>
        </w:rPr>
      </w:r>
    </w:p>
    <w:p w14:paraId="7FE1DDD1">
      <w:pPr>
        <w:pBdr/>
        <w:spacing/>
        <w:ind/>
        <w:jc w:val="center"/>
        <w:rPr>
          <w:rFonts w:ascii="Times New Roman" w:hAnsi="Times New Roman" w:cs="Times New Roman"/>
          <w:color w:val="333333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8080"/>
          <w:sz w:val="36"/>
          <w:szCs w:val="36"/>
          <w:lang w:val="undefined"/>
        </w:rPr>
        <w:t xml:space="preserve">Original Scen</w:t>
      </w:r>
      <w:r>
        <w:rPr>
          <w:rFonts w:ascii="Times New Roman" w:hAnsi="Times New Roman" w:eastAsia="Times New Roman" w:cs="Times New Roman"/>
          <w:b/>
          <w:bCs/>
          <w:color w:val="008080"/>
          <w:sz w:val="36"/>
          <w:szCs w:val="36"/>
          <w:lang w:val="en-US"/>
        </w:rPr>
        <w:t xml:space="preserve">a</w:t>
      </w:r>
      <w:r>
        <w:rPr>
          <w:rFonts w:ascii="Times New Roman" w:hAnsi="Times New Roman" w:eastAsia="Times New Roman" w:cs="Times New Roman"/>
          <w:b/>
          <w:bCs/>
          <w:color w:val="008080"/>
          <w:sz w:val="36"/>
          <w:szCs w:val="36"/>
        </w:rPr>
        <w:t xml:space="preserve">rio </w:t>
      </w:r>
      <w:r>
        <w:rPr>
          <w:rFonts w:ascii="Times New Roman" w:hAnsi="Times New Roman" w:eastAsia="Times New Roman" w:cs="Times New Roman"/>
          <w:b/>
          <w:bCs/>
          <w:color w:val="008080"/>
          <w:sz w:val="36"/>
          <w:szCs w:val="36"/>
        </w:rPr>
        <w:t xml:space="preserve">by</w:t>
      </w:r>
      <w:r>
        <w:rPr>
          <w:rFonts w:ascii="Times New Roman" w:hAnsi="Times New Roman" w:eastAsia="Times New Roman" w:cs="Times New Roman"/>
          <w:b/>
          <w:bCs/>
          <w:color w:val="008080"/>
          <w:sz w:val="36"/>
          <w:szCs w:val="36"/>
          <w:lang w:val="undefined"/>
        </w:rPr>
        <w:t xml:space="preserve">:</w:t>
        <w:br/>
      </w:r>
      <w:r>
        <w:rPr>
          <w:rFonts w:ascii="Times New Roman" w:hAnsi="Times New Roman" w:eastAsia="Times New Roman" w:cs="Times New Roman"/>
          <w:color w:val="333333"/>
          <w:sz w:val="36"/>
          <w:szCs w:val="36"/>
          <w:highlight w:val="none"/>
        </w:rPr>
        <w:t xml:space="preserve">Afaaf Ahmed</w:t>
      </w:r>
      <w:r>
        <w:rPr>
          <w:rFonts w:ascii="Times New Roman" w:hAnsi="Times New Roman" w:eastAsia="Times New Roman" w:cs="Times New Roman"/>
          <w:color w:val="333333"/>
          <w:sz w:val="36"/>
          <w:szCs w:val="36"/>
        </w:rPr>
      </w:r>
    </w:p>
    <w:p w14:paraId="7A78CE29">
      <w:pPr>
        <w:pBdr/>
        <w:spacing/>
        <w:ind/>
        <w:jc w:val="center"/>
        <w:rPr>
          <w:rFonts w:ascii="Times New Roman" w:hAnsi="Times New Roman" w:cs="Times New Roman"/>
          <w:color w:val="333333"/>
          <w:sz w:val="36"/>
          <w:szCs w:val="36"/>
        </w:rPr>
      </w:pPr>
      <w:r>
        <w:rPr>
          <w:rFonts w:ascii="Times New Roman" w:hAnsi="Times New Roman" w:eastAsia="Times New Roman" w:cs="Times New Roman"/>
          <w:color w:val="333333"/>
          <w:sz w:val="36"/>
          <w:szCs w:val="36"/>
          <w:highlight w:val="none"/>
        </w:rPr>
        <w:t xml:space="preserve">25021598-072</w:t>
      </w:r>
      <w:r>
        <w:rPr>
          <w:rFonts w:ascii="Times New Roman" w:hAnsi="Times New Roman" w:eastAsia="Times New Roman" w:cs="Times New Roman"/>
          <w:color w:val="333333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color w:val="333333"/>
          <w:sz w:val="36"/>
          <w:szCs w:val="36"/>
          <w:highlight w:val="none"/>
        </w:rPr>
      </w:r>
    </w:p>
    <w:p w14:paraId="37FD0019">
      <w:pPr>
        <w:pBdr/>
        <w:spacing/>
        <w:ind/>
        <w:jc w:val="center"/>
        <w:rPr>
          <w:rFonts w:ascii="Times New Roman" w:hAnsi="Times New Roman" w:cs="Times New Roman"/>
          <w:b/>
          <w:bCs/>
          <w:color w:val="008080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color w:val="008080"/>
          <w:sz w:val="36"/>
          <w:szCs w:val="36"/>
        </w:rPr>
        <w:t xml:space="preserve">Section</w:t>
      </w:r>
      <w:r>
        <w:rPr>
          <w:rFonts w:ascii="Times New Roman" w:hAnsi="Times New Roman" w:eastAsia="Times New Roman" w:cs="Times New Roman"/>
          <w:b/>
          <w:bCs/>
          <w:color w:val="008080"/>
          <w:sz w:val="36"/>
          <w:szCs w:val="36"/>
        </w:rPr>
        <w:t xml:space="preserve">:</w:t>
      </w:r>
      <w:r>
        <w:rPr>
          <w:rFonts w:ascii="Times New Roman" w:hAnsi="Times New Roman" w:eastAsia="Times New Roman" w:cs="Times New Roman"/>
          <w:b/>
          <w:bCs/>
          <w:color w:val="008080"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color w:val="008080"/>
          <w:sz w:val="36"/>
          <w:szCs w:val="36"/>
        </w:rPr>
      </w:r>
    </w:p>
    <w:p w14:paraId="6B20305C">
      <w:pPr>
        <w:pBdr/>
        <w:spacing/>
        <w:ind/>
        <w:jc w:val="center"/>
        <w:rPr>
          <w:rFonts w:ascii="Times New Roman" w:hAnsi="Times New Roman" w:cs="Times New Roman"/>
          <w:color w:val="333333"/>
          <w:sz w:val="36"/>
          <w:szCs w:val="36"/>
        </w:rPr>
        <w:sectPr>
          <w:headerReference w:type="default" r:id="rId9"/>
          <w:footerReference w:type="default" r:id="rId11"/>
          <w:footnotePr/>
          <w:endnotePr/>
          <w:type w:val="nextPage"/>
          <w:pgSz w:h="15840" w:orient="portrait" w:w="12240"/>
          <w:pgMar w:top="1440" w:right="1440" w:bottom="1440" w:left="1440" w:header="709" w:footer="709" w:gutter="0"/>
          <w:cols w:num="1" w:sep="0" w:space="720" w:equalWidth="1"/>
        </w:sectPr>
      </w:pPr>
      <w:r>
        <w:rPr>
          <w:rFonts w:ascii="Times New Roman" w:hAnsi="Times New Roman" w:eastAsia="Times New Roman" w:cs="Times New Roman"/>
          <w:color w:val="333333"/>
          <w:sz w:val="36"/>
          <w:szCs w:val="36"/>
        </w:rPr>
        <w:t xml:space="preserve">AB</w:t>
      </w:r>
      <w:r>
        <w:rPr>
          <w:rFonts w:ascii="Times New Roman" w:hAnsi="Times New Roman" w:eastAsia="Times New Roman" w:cs="Times New Roman"/>
          <w:color w:val="333333"/>
          <w:sz w:val="36"/>
          <w:szCs w:val="36"/>
        </w:rPr>
      </w:r>
      <w:r>
        <w:rPr>
          <w:rFonts w:ascii="Times New Roman" w:hAnsi="Times New Roman" w:eastAsia="Times New Roman" w:cs="Times New Roman"/>
          <w:color w:val="333333"/>
          <w:sz w:val="36"/>
          <w:szCs w:val="36"/>
        </w:rPr>
      </w:r>
    </w:p>
    <w:p>
      <w:pPr>
        <w:pStyle w:val="694"/>
        <w:pBdr/>
        <w:spacing/>
        <w:ind/>
        <w:jc w:val="both"/>
        <w:rPr>
          <w:rFonts w:ascii="Times New Roman" w:hAnsi="Times New Roman" w:cs="Times New Roman"/>
          <w:color w:val="008080"/>
          <w:sz w:val="32"/>
          <w:szCs w:val="32"/>
          <w14:ligatures w14:val="none"/>
        </w:rPr>
      </w:pPr>
      <w:r>
        <w:rPr>
          <w:rFonts w:ascii="Times New Roman" w:hAnsi="Times New Roman" w:eastAsia="Times New Roman" w:cs="Times New Roman"/>
          <w:color w:val="008080"/>
          <w:sz w:val="32"/>
          <w:szCs w:val="32"/>
          <w:lang w:val="undefined"/>
        </w:rPr>
        <w:t xml:space="preserve">Scenario Overview</w:t>
      </w:r>
      <w:r>
        <w:rPr>
          <w:rFonts w:ascii="Times New Roman" w:hAnsi="Times New Roman" w:eastAsia="Times New Roman" w:cs="Times New Roman"/>
          <w:color w:val="008080"/>
          <w:sz w:val="32"/>
          <w:szCs w:val="32"/>
          <w:lang w:val="undefined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CampusMart is a small online store that keeps all customer orders and payment records on a single database server. The IT manager is worried about ransomware.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94"/>
        <w:pBdr/>
        <w:spacing/>
        <w:ind/>
        <w:jc w:val="both"/>
        <w:rPr>
          <w:rFonts w:ascii="Times New Roman" w:hAnsi="Times New Roman" w:cs="Times New Roman"/>
          <w:color w:val="008080"/>
          <w:sz w:val="32"/>
          <w:szCs w:val="32"/>
          <w14:ligatures w14:val="none"/>
        </w:rPr>
      </w:pPr>
      <w:r>
        <w:rPr>
          <w:rFonts w:ascii="Times New Roman" w:hAnsi="Times New Roman" w:eastAsia="Times New Roman" w:cs="Times New Roman"/>
          <w:color w:val="008080"/>
          <w:sz w:val="32"/>
          <w:szCs w:val="32"/>
          <w:lang w:val="undefined"/>
        </w:rPr>
        <w:t xml:space="preserve">Calculations &amp; Solutions</w:t>
      </w:r>
      <w:r>
        <w:rPr>
          <w:rFonts w:ascii="Times New Roman" w:hAnsi="Times New Roman" w:eastAsia="Times New Roman" w:cs="Times New Roman"/>
          <w:color w:val="008080"/>
          <w:sz w:val="32"/>
          <w:szCs w:val="32"/>
        </w:rPr>
      </w:r>
    </w:p>
    <w:p>
      <w:pPr>
        <w:pStyle w:val="694"/>
        <w:pBdr/>
        <w:spacing/>
        <w:ind/>
        <w:rPr>
          <w:rFonts w:ascii="Times New Roman" w:hAnsi="Times New Roman" w:cs="Times New Roman"/>
          <w:color w:val="003366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3366"/>
          <w:sz w:val="28"/>
          <w:szCs w:val="28"/>
          <w:lang w:val="undefined"/>
        </w:rPr>
        <w:t xml:space="preserve">1. Calculate the SLE and ALE before the safeguard.</w:t>
      </w:r>
      <w:r>
        <w:rPr>
          <w:rFonts w:ascii="Times New Roman" w:hAnsi="Times New Roman" w:eastAsia="Times New Roman" w:cs="Times New Roman"/>
          <w:color w:val="003366"/>
          <w:sz w:val="28"/>
          <w:szCs w:val="28"/>
          <w:lang w:val="undefined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Asset Value (AV):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2,000,000 PKR</w:t>
        <w:br/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Exposure Factor (EF):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60% (0.60)</w:t>
        <w:br/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Single Loss Expectancy (SLE):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AV × EF = 2,000,000 × 0.60 = 1,200,000 PKR</w:t>
        <w:br/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Annual Rate of Occurrence (ARO):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1 attack / 2 years = 0.5</w:t>
        <w:br/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Annual Loss Expectancy (ALE):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SLE × ARO = 1,200,000 × 0.5 = 600,000 PKR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94"/>
        <w:pBdr/>
        <w:spacing/>
        <w:ind/>
        <w:rPr>
          <w:rFonts w:ascii="Times New Roman" w:hAnsi="Times New Roman" w:cs="Times New Roman"/>
          <w:color w:val="003366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3366"/>
          <w:sz w:val="28"/>
          <w:szCs w:val="28"/>
          <w:lang w:val="undefined"/>
        </w:rPr>
        <w:t xml:space="preserve">2. Calculate the Annual Cost of the Safeguard (ACS).</w:t>
      </w:r>
      <w:r>
        <w:rPr>
          <w:rFonts w:ascii="Times New Roman" w:hAnsi="Times New Roman" w:eastAsia="Times New Roman" w:cs="Times New Roman"/>
          <w:color w:val="003366"/>
          <w:sz w:val="28"/>
          <w:szCs w:val="28"/>
          <w:lang w:val="undefined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Annual Purchase Cost (APC):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150,000 / 3 years = 50,000 PKR</w:t>
        <w:br/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Annual License Fee (ALF):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60,000 PKR</w:t>
        <w:br/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Annual Admin and Maintainence Labor (AAML):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30,000 PKR</w:t>
        <w:br/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Annual Cost of Safeguard (ACS):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APC + ALF + AAML = 50,000 + 60,000 + 30,000 = 140,000 PKR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94"/>
        <w:pBdr/>
        <w:spacing/>
        <w:ind/>
        <w:rPr>
          <w:rFonts w:ascii="Times New Roman" w:hAnsi="Times New Roman" w:cs="Times New Roman"/>
          <w:color w:val="003366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3366"/>
          <w:sz w:val="28"/>
          <w:szCs w:val="28"/>
          <w:lang w:val="undefined"/>
        </w:rPr>
        <w:t xml:space="preserve">3. Calculate the SLE and ALE after the safeguard.</w:t>
      </w:r>
      <w:r>
        <w:rPr>
          <w:rFonts w:ascii="Times New Roman" w:hAnsi="Times New Roman" w:eastAsia="Times New Roman" w:cs="Times New Roman"/>
          <w:color w:val="003366"/>
          <w:sz w:val="28"/>
          <w:szCs w:val="28"/>
          <w:lang w:val="undefined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Exposure Factor After (</w:t>
      </w:r>
      <m:oMath>
        <m:sSub>
          <m:sSubPr>
            <m:ctrlPr>
              <w:rPr>
                <w:rFonts w:hint="default" w:ascii="Cambria Math" w:hAnsi="Cambria Math" w:eastAsia="Cambria Math" w:cs="Cambria Math"/>
                <w:b/>
                <w:i/>
                <w:sz w:val="24"/>
                <w:szCs w:val="24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4"/>
                <w:szCs w:val="24"/>
              </w:rPr>
              <m:rPr>
                <m:sty m:val="bi"/>
              </m:rPr>
              <m:t>EF</m:t>
            </m:r>
          </m:e>
          <m:sub>
            <m:r>
              <w:rPr>
                <w:rFonts w:hint="default" w:ascii="Cambria Math" w:hAnsi="Cambria Math" w:eastAsia="Cambria Math" w:cs="Cambria Math"/>
                <w:sz w:val="24"/>
                <w:szCs w:val="24"/>
              </w:rPr>
              <m:rPr>
                <m:sty m:val="bi"/>
              </m:rPr>
              <m:t>after</m:t>
            </m:r>
          </m:sub>
        </m:sSub>
      </m:oMath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):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10% (0.10)</w:t>
        <w:br/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Annual Rate of Occurrence After (</w:t>
      </w:r>
      <w:r/>
      <m:oMath>
        <m:sSub>
          <m:sSubPr>
            <m:ctrlPr>
              <w:rPr>
                <w:rFonts w:ascii="Cambria Math" w:hAnsi="Cambria Math" w:eastAsia="Cambria Math" w:cs="Cambria Math"/>
                <w:b/>
                <w:i/>
                <w:sz w:val="24"/>
                <w:szCs w:val="24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4"/>
                <w:szCs w:val="24"/>
              </w:rPr>
              <m:rPr>
                <m:sty m:val="bi"/>
              </m:rPr>
              <m:t>ARO</m:t>
            </m:r>
          </m:e>
          <m:sub>
            <m:r>
              <w:rPr>
                <w:rFonts w:hint="default" w:ascii="Cambria Math" w:hAnsi="Cambria Math" w:eastAsia="Cambria Math" w:cs="Cambria Math"/>
                <w:sz w:val="24"/>
                <w:szCs w:val="24"/>
              </w:rPr>
              <m:rPr>
                <m:sty m:val="bi"/>
              </m:rPr>
              <m:t>after</m:t>
            </m:r>
          </m:sub>
        </m:sSub>
      </m:oMath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):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1 in 5 years = 0.20</w:t>
        <w:br/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Single Loss Expectancy After (</w:t>
      </w:r>
      <w:r/>
      <m:oMath>
        <m:sSub>
          <m:sSubPr>
            <m:ctrlPr>
              <w:rPr>
                <w:rFonts w:ascii="Cambria Math" w:hAnsi="Cambria Math" w:eastAsia="Cambria Math" w:cs="Cambria Math"/>
                <w:b/>
                <w:i/>
                <w:sz w:val="24"/>
                <w:szCs w:val="24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4"/>
                <w:szCs w:val="24"/>
              </w:rPr>
              <m:rPr>
                <m:sty m:val="bi"/>
              </m:rPr>
              <m:t>SLE</m:t>
            </m:r>
          </m:e>
          <m:sub>
            <m:r>
              <w:rPr>
                <w:rFonts w:hint="default" w:ascii="Cambria Math" w:hAnsi="Cambria Math" w:eastAsia="Cambria Math" w:cs="Cambria Math"/>
                <w:sz w:val="24"/>
                <w:szCs w:val="24"/>
              </w:rPr>
              <m:rPr>
                <m:sty m:val="bi"/>
              </m:rPr>
              <m:t>after</m:t>
            </m:r>
          </m:sub>
        </m:sSub>
      </m:oMath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):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AV × </w:t>
      </w:r>
      <w:r/>
      <m:oMath>
        <m:sSub>
          <m:sSubPr>
            <m:ctrlPr>
              <w:rPr>
                <w:rFonts w:hint="default" w:ascii="Cambria Math" w:hAnsi="Cambria Math" w:eastAsia="Cambria Math" w:cs="Cambria Math"/>
                <w:b w:val="0"/>
                <w:i/>
                <w:sz w:val="24"/>
                <w:szCs w:val="24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4"/>
                <w:szCs w:val="24"/>
              </w:rPr>
              <m:rPr>
                <m:sty m:val="i"/>
              </m:rPr>
              <m:t>EF</m:t>
            </m:r>
          </m:e>
          <m:sub>
            <m:r>
              <w:rPr>
                <w:rFonts w:hint="default" w:ascii="Cambria Math" w:hAnsi="Cambria Math" w:eastAsia="Cambria Math" w:cs="Cambria Math"/>
                <w:sz w:val="24"/>
                <w:szCs w:val="24"/>
              </w:rPr>
              <m:rPr>
                <m:sty m:val="i"/>
              </m:rPr>
              <m:t>after</m:t>
            </m:r>
          </m:sub>
        </m:sSub>
      </m:oMath>
      <w:r/>
      <w:r>
        <w:rPr>
          <w:rFonts w:ascii="Times New Roman" w:hAnsi="Times New Roman" w:eastAsia="Times New Roman" w:cs="Times New Roman"/>
          <w:sz w:val="24"/>
          <w:szCs w:val="24"/>
        </w:rPr>
        <w:t xml:space="preserve"> = 2,000,000 × 0.10 = 200,000 PKR</w:t>
        <w:br/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Annual Loss Expectancy After (</w:t>
      </w:r>
      <w:r/>
      <m:oMath>
        <m:sSub>
          <m:sSubPr>
            <m:ctrlPr>
              <w:rPr>
                <w:rFonts w:ascii="Cambria Math" w:hAnsi="Cambria Math" w:eastAsia="Cambria Math" w:cs="Cambria Math"/>
                <w:b/>
                <w:i/>
                <w:sz w:val="24"/>
                <w:szCs w:val="24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4"/>
                <w:szCs w:val="24"/>
              </w:rPr>
              <m:rPr>
                <m:sty m:val="bi"/>
              </m:rPr>
              <m:t>ALE</m:t>
            </m:r>
          </m:e>
          <m:sub>
            <m:r>
              <w:rPr>
                <w:rFonts w:hint="default" w:ascii="Cambria Math" w:hAnsi="Cambria Math" w:eastAsia="Cambria Math" w:cs="Cambria Math"/>
                <w:sz w:val="24"/>
                <w:szCs w:val="24"/>
              </w:rPr>
              <m:rPr>
                <m:sty m:val="bi"/>
              </m:rPr>
              <m:t>after</m:t>
            </m:r>
          </m:sub>
        </m:sSub>
      </m:oMath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): </w:t>
      </w:r>
      <w:r>
        <w:rPr>
          <w:rFonts w:ascii="Times New Roman" w:hAnsi="Times New Roman" w:eastAsia="Times New Roman" w:cs="Times New Roman"/>
          <w:sz w:val="24"/>
          <w:szCs w:val="24"/>
        </w:rPr>
      </w:r>
      <w:r/>
      <m:oMath>
        <m:sSub>
          <m:sSubPr>
            <m:ctrlPr>
              <w:rPr>
                <w:rFonts w:hint="default" w:ascii="Cambria Math" w:hAnsi="Cambria Math" w:eastAsia="Cambria Math" w:cs="Cambria Math"/>
                <w:b w:val="0"/>
                <w:i/>
                <w:sz w:val="24"/>
                <w:szCs w:val="24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4"/>
                <w:szCs w:val="24"/>
              </w:rPr>
              <m:rPr>
                <m:sty m:val="i"/>
              </m:rPr>
              <m:t>SLE</m:t>
            </m:r>
          </m:e>
          <m:sub>
            <m:r>
              <w:rPr>
                <w:rFonts w:hint="default" w:ascii="Cambria Math" w:hAnsi="Cambria Math" w:eastAsia="Cambria Math" w:cs="Cambria Math"/>
                <w:sz w:val="24"/>
                <w:szCs w:val="24"/>
              </w:rPr>
              <m:rPr>
                <m:sty m:val="i"/>
              </m:rPr>
              <m:t>after</m:t>
            </m:r>
          </m:sub>
        </m:sSub>
      </m:oMath>
      <w:r/>
      <w:r>
        <w:rPr>
          <w:rFonts w:ascii="Times New Roman" w:hAnsi="Times New Roman" w:eastAsia="Times New Roman" w:cs="Times New Roman"/>
          <w:sz w:val="24"/>
          <w:szCs w:val="24"/>
        </w:rPr>
        <w:t xml:space="preserve"> × </w:t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  <w:r/>
      <m:oMath>
        <m:sSub>
          <m:sSubPr>
            <m:ctrlPr>
              <w:rPr>
                <w:rFonts w:hint="default" w:ascii="Cambria Math" w:hAnsi="Cambria Math" w:eastAsia="Cambria Math" w:cs="Cambria Math"/>
                <w:b w:val="0"/>
                <w:i/>
                <w:sz w:val="24"/>
                <w:szCs w:val="24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4"/>
                <w:szCs w:val="24"/>
              </w:rPr>
              <m:rPr>
                <m:sty m:val="i"/>
              </m:rPr>
              <m:t>ARO</m:t>
            </m:r>
          </m:e>
          <m:sub>
            <m:r>
              <w:rPr>
                <w:rFonts w:hint="default" w:ascii="Cambria Math" w:hAnsi="Cambria Math" w:eastAsia="Cambria Math" w:cs="Cambria Math"/>
                <w:sz w:val="24"/>
                <w:szCs w:val="24"/>
              </w:rPr>
              <m:rPr>
                <m:sty m:val="i"/>
              </m:rPr>
              <m:t>after</m:t>
            </m:r>
          </m:sub>
        </m:sSub>
      </m:oMath>
      <w:r/>
      <w:r>
        <w:rPr>
          <w:rFonts w:ascii="Times New Roman" w:hAnsi="Times New Roman" w:eastAsia="Times New Roman" w:cs="Times New Roman"/>
          <w:sz w:val="24"/>
          <w:szCs w:val="24"/>
        </w:rPr>
        <w:t xml:space="preserve"> = 200,000 × 0.20 = 40,000 PKR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94"/>
        <w:pBdr/>
        <w:spacing/>
        <w:ind/>
        <w:rPr>
          <w:rFonts w:ascii="Times New Roman" w:hAnsi="Times New Roman" w:cs="Times New Roman"/>
          <w:color w:val="003366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3366"/>
          <w:sz w:val="28"/>
          <w:szCs w:val="28"/>
          <w:lang w:val="undefined"/>
        </w:rPr>
        <w:t xml:space="preserve">4. Calculate the annual risk reduction and the net benefit of the safeguard.</w:t>
      </w:r>
      <w:r>
        <w:rPr>
          <w:rFonts w:ascii="Times New Roman" w:hAnsi="Times New Roman" w:eastAsia="Times New Roman" w:cs="Times New Roman"/>
          <w:color w:val="003366"/>
          <w:sz w:val="28"/>
          <w:szCs w:val="28"/>
          <w:lang w:val="undefined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Annual Risk Reduction (ARR):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ALE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- </w:t>
      </w:r>
      <w:r/>
      <m:oMath>
        <m:sSub>
          <m:sSubPr>
            <m:ctrlPr>
              <w:rPr>
                <w:rFonts w:hint="default" w:ascii="Cambria Math" w:hAnsi="Cambria Math" w:eastAsia="Cambria Math" w:cs="Cambria Math"/>
                <w:b w:val="0"/>
                <w:i/>
                <w:sz w:val="24"/>
                <w:szCs w:val="24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4"/>
                <w:szCs w:val="24"/>
              </w:rPr>
              <m:rPr>
                <m:sty m:val="i"/>
              </m:rPr>
              <m:t>ALE</m:t>
            </m:r>
          </m:e>
          <m:sub>
            <m:r>
              <w:rPr>
                <w:rFonts w:hint="default" w:ascii="Cambria Math" w:hAnsi="Cambria Math" w:eastAsia="Cambria Math" w:cs="Cambria Math"/>
                <w:sz w:val="24"/>
                <w:szCs w:val="24"/>
              </w:rPr>
              <m:rPr>
                <m:sty m:val="i"/>
              </m:rPr>
              <m:t>after</m:t>
            </m:r>
          </m:sub>
        </m:sSub>
      </m:oMath>
      <w:r/>
      <w:r>
        <w:rPr>
          <w:rFonts w:ascii="Times New Roman" w:hAnsi="Times New Roman" w:eastAsia="Times New Roman" w:cs="Times New Roman"/>
          <w:sz w:val="24"/>
          <w:szCs w:val="24"/>
        </w:rPr>
        <w:t xml:space="preserve"> = 600,000 - 40,000 = 560,000 PKR</w:t>
        <w:br/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Net Benefit (NB):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ARR - ACS = 560,000 - 140,000 = 420,000 PKR</w:t>
      </w:r>
      <w:r>
        <w:rPr>
          <w:rFonts w:ascii="Times New Roman" w:hAnsi="Times New Roman" w:eastAsia="Times New Roman" w:cs="Times New Roman"/>
          <w:sz w:val="24"/>
          <w:szCs w:val="24"/>
        </w:rPr>
      </w:r>
      <w:r/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94"/>
        <w:pBdr/>
        <w:spacing/>
        <w:ind/>
        <w:rPr>
          <w:rFonts w:ascii="Times New Roman" w:hAnsi="Times New Roman" w:cs="Times New Roman"/>
          <w:color w:val="003366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3366"/>
          <w:sz w:val="28"/>
          <w:szCs w:val="28"/>
          <w:lang w:val="undefined"/>
        </w:rPr>
        <w:t xml:space="preserve">5. Calculate the Cost-Benefit Ratio and ROI.</w:t>
      </w:r>
      <w:r>
        <w:rPr>
          <w:rFonts w:ascii="Times New Roman" w:hAnsi="Times New Roman" w:eastAsia="Times New Roman" w:cs="Times New Roman"/>
          <w:color w:val="003366"/>
          <w:sz w:val="28"/>
          <w:szCs w:val="28"/>
          <w:lang w:val="undefined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Cost-Benefit Ratio (CBR):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ACS / ARR = 140,000 / 560,000 = 0.25</w:t>
        <w:br/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Return on Investment (ROI):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(NB / ACS) × 100 = (420,000 / 140,000) × 100 = 300%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94"/>
        <w:pBdr/>
        <w:spacing/>
        <w:ind/>
        <w:rPr>
          <w:rFonts w:ascii="Times New Roman" w:hAnsi="Times New Roman" w:cs="Times New Roman"/>
          <w:color w:val="003366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3366"/>
          <w:sz w:val="28"/>
          <w:szCs w:val="28"/>
          <w:lang w:val="undefined"/>
        </w:rPr>
        <w:t xml:space="preserve">6. Calculate the payback period.</w:t>
      </w:r>
      <w:r>
        <w:rPr>
          <w:rFonts w:ascii="Times New Roman" w:hAnsi="Times New Roman" w:eastAsia="Times New Roman" w:cs="Times New Roman"/>
          <w:color w:val="003366"/>
          <w:sz w:val="28"/>
          <w:szCs w:val="28"/>
          <w:lang w:val="undefined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Initial Investment: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150,000 PKR</w:t>
        <w:br/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Annual Operating Expenses: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60,000 (License) + 30,000 (Admin) = 90,000 PKR</w:t>
        <w:br/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Annual Net Cash Flow (ANCF):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ARR - Annual Operating Expenses = 560,000 - 90,000 = 470,000 PKR</w:t>
        <w:br/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Payback Period: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Initial Investment / ANCF = 150,000 / 470,000 = 0.319 years (~3.8 months)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94"/>
        <w:pBdr/>
        <w:spacing/>
        <w:ind/>
        <w:rPr>
          <w:rFonts w:ascii="Times New Roman" w:hAnsi="Times New Roman" w:cs="Times New Roman"/>
          <w:color w:val="003366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3366"/>
          <w:sz w:val="28"/>
          <w:szCs w:val="28"/>
          <w:lang w:val="undefined"/>
        </w:rPr>
        <w:t xml:space="preserve">7. Should CampusMart buy the safeguard? Justify your answer.</w:t>
      </w:r>
      <w:r>
        <w:rPr>
          <w:rFonts w:ascii="Times New Roman" w:hAnsi="Times New Roman" w:eastAsia="Times New Roman" w:cs="Times New Roman"/>
          <w:color w:val="003366"/>
          <w:sz w:val="28"/>
          <w:szCs w:val="28"/>
          <w:lang w:val="undefined"/>
        </w:rPr>
      </w:r>
    </w:p>
    <w:p>
      <w:pPr>
        <w:pBdr/>
        <w:spacing/>
        <w:ind w:right="-142" w:firstLine="0" w:left="-2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Recommendation: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Yes, CampusMart should definitely purchase the safeguard.</w:t>
        <w:br/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Justification: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The safeguard gives a great Net Benefit of 420,000 PKR per year and an excellent Return on Investment (ROI) of 300%. The Cost-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Benefit Ratio of 0.25 shows that for every 1 PKR spent, 4 PKR is saved. Also, the initial investment will be fully recovered in just ~3.8 months (0.319 years). This makes it a financially great and highly effective decision to purchase this safeguard.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sectPr>
      <w:headerReference w:type="default" r:id="rId10"/>
      <w:footerReference w:type="default" r:id="rId12"/>
      <w:footnotePr/>
      <w:endnotePr/>
      <w:type w:val="nextPage"/>
      <w:pgSz w:h="15840" w:orient="portrait" w:w="12240"/>
      <w:pgMar w:top="1440" w:right="1227" w:bottom="1440" w:left="1517" w:header="720" w:footer="720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Symbol">
    <w:panose1 w:val="05010000000000000000"/>
  </w:font>
  <w:font w:name="Times New Roman">
    <w:panose1 w:val="02020603050405020304"/>
  </w:font>
  <w:font w:name="Courier"/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D1CC379">
    <w:pPr>
      <w:pStyle w:val="691"/>
      <w:pBdr/>
      <w:spacing/>
      <w:ind/>
      <w:jc w:val="center"/>
      <w:rPr/>
    </w:pPr>
    <w:r/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892D9D9">
    <w:pPr>
      <w:pStyle w:val="691"/>
      <w:pBdr/>
      <w:spacing/>
      <w:ind/>
      <w:jc w:val="center"/>
      <w:rPr/>
    </w:pPr>
    <w:fldSimple w:instr="PAGE \* MERGEFORMAT">
      <w:r>
        <w:t xml:space="preserve">1</w:t>
      </w:r>
    </w:fldSimple>
    <w:r/>
    <w:r/>
    <w:r/>
  </w:p>
  <w:p w14:paraId="68061253">
    <w:pPr>
      <w:pStyle w:val="691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B306AF2">
    <w:pPr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<wp:simplePos x="0" y="0"/>
              <wp:positionH relativeFrom="column">
                <wp:posOffset>2057400</wp:posOffset>
              </wp:positionH>
              <wp:positionV relativeFrom="paragraph">
                <wp:posOffset>-221615</wp:posOffset>
              </wp:positionV>
              <wp:extent cx="1371600" cy="1371600"/>
              <wp:effectExtent l="0" t="0" r="0" b="0"/>
              <wp:wrapTopAndBottom/>
              <wp:docPr id="1" name="Picture 3" descr="A logo of University of Gujrat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24721473" name="Picture 3" descr="A logo of University of Gujrat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 rot="0" flipH="0" flipV="0">
                        <a:off x="0" y="0"/>
                        <a:ext cx="1371600" cy="13716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048;o:allowoverlap:true;o:allowincell:true;mso-position-horizontal-relative:text;margin-left:162.00pt;mso-position-horizontal:absolute;mso-position-vertical-relative:text;margin-top:-17.45pt;mso-position-vertical:absolute;width:108.00pt;height:108.00pt;mso-wrap-distance-left:9.07pt;mso-wrap-distance-top:0.00pt;mso-wrap-distance-right:9.07pt;mso-wrap-distance-bottom:0.00pt;rotation:0;z-index:1;" stroked="false">
              <w10:wrap type="topAndBottom"/>
              <v:imagedata r:id="rId1" o:title=""/>
              <o:lock v:ext="edit" rotation="t"/>
            </v:shape>
          </w:pict>
        </mc:Fallback>
      </mc:AlternateContent>
    </w:r>
    <w:r/>
    <w:r/>
  </w:p>
  <w:p w14:paraId="71575FB7">
    <w:pPr>
      <w:pStyle w:val="689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30BD3D1">
    <w:pPr>
      <w:pBdr/>
      <w:spacing/>
      <w:ind/>
      <w:rPr/>
    </w:pPr>
    <w:r/>
    <w:r/>
    <w:r/>
    <w:r/>
  </w:p>
  <w:p w14:paraId="7B97EC12">
    <w:pPr>
      <w:pStyle w:val="689"/>
      <w:pBdr/>
      <w:spacing/>
      <w:ind/>
      <w:rPr/>
    </w:pPr>
    <w:r/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2026-10-07T15:49:39Z</dcterms:modified>
  <cp:category/>
</cp:coreProperties>
</file>