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>{</w:t>
      </w:r>
      <w:proofErr w:type="gramStart"/>
      <w:r w:rsidRPr="006A5BBA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6A5BBA">
        <w:rPr>
          <w:lang w:val="en-US"/>
        </w:rPr>
        <w:t>_</w:t>
      </w:r>
      <w:r w:rsidRPr="00AE2270">
        <w:rPr>
          <w:lang w:val="en-US"/>
        </w:rPr>
        <w:t>logo</w:t>
      </w:r>
      <w:proofErr w:type="spellEnd"/>
      <w:r w:rsidRPr="006A5BBA">
        <w:rPr>
          <w:lang w:val="en-US"/>
        </w:rPr>
        <w:t xml:space="preserve">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 №{</w:t>
      </w:r>
      <w:proofErr w:type="gram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{ </w:t>
      </w:r>
      <w:proofErr w:type="spellStart"/>
      <w:proofErr w:type="gram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license_number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выданный Ассоциацией оценочных организаций Республики Узбекистан {{ </w:t>
      </w:r>
      <w:proofErr w:type="spell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license_date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года, предоставляющий право на осуществление оценочной деятельности</w:t>
      </w:r>
      <w:r>
        <w:t>.</w:t>
      </w:r>
    </w:p>
    <w:p w:rsidR="0043249B" w:rsidRPr="00E35E57" w:rsidRDefault="007706C9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</w:t>
            </w:r>
            <w:proofErr w:type="spellStart"/>
            <w:r w:rsidR="006A5BBA">
              <w:rPr>
                <w:rFonts w:ascii="Cambria" w:hAnsi="Cambria"/>
                <w:sz w:val="24"/>
                <w:lang w:val="en-US"/>
              </w:rPr>
              <w:t>valuator_company_name</w:t>
            </w:r>
            <w:proofErr w:type="spellEnd"/>
            <w:proofErr w:type="gramStart"/>
            <w:r>
              <w:rPr>
                <w:rFonts w:ascii="Cambria" w:hAnsi="Cambria"/>
                <w:sz w:val="24"/>
              </w:rPr>
              <w:t xml:space="preserve"> }</w:t>
            </w:r>
            <w:proofErr w:type="gramEnd"/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</w:t>
      </w:r>
      <w:r w:rsidR="006A5BBA">
        <w:rPr>
          <w:rFonts w:ascii="Cambria" w:hAnsi="Cambria"/>
          <w:lang w:val="en-US"/>
        </w:rPr>
        <w:t>valuator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company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name</w:t>
      </w:r>
      <w:proofErr w:type="gramStart"/>
      <w:r>
        <w:rPr>
          <w:rFonts w:ascii="Cambria" w:hAnsi="Cambria"/>
          <w:w w:val="115"/>
          <w:u w:val="none"/>
        </w:rPr>
        <w:t xml:space="preserve"> }</w:t>
      </w:r>
      <w:proofErr w:type="gramEnd"/>
      <w:r>
        <w:rPr>
          <w:rFonts w:ascii="Cambria" w:hAnsi="Cambria"/>
          <w:w w:val="115"/>
          <w:u w:val="none"/>
        </w:rPr>
        <w:t>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№{</w:t>
      </w:r>
      <w:proofErr w:type="gramStart"/>
      <w:r w:rsidR="00E35E57" w:rsidRPr="00E35E57">
        <w:rPr>
          <w:rFonts w:ascii="Cambria" w:hAnsi="Cambria"/>
          <w:b/>
          <w:sz w:val="20"/>
        </w:rPr>
        <w:t xml:space="preserve">{ </w:t>
      </w:r>
      <w:proofErr w:type="gramEnd"/>
      <w:r w:rsidR="00E35E57" w:rsidRPr="00E35E57">
        <w:rPr>
          <w:rFonts w:ascii="Cambria" w:hAnsi="Cambria"/>
          <w:b/>
          <w:sz w:val="20"/>
        </w:rPr>
        <w:t>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>{</w:t>
      </w:r>
      <w:proofErr w:type="gramStart"/>
      <w:r w:rsidR="00C7526E">
        <w:rPr>
          <w:color w:val="0000FF"/>
          <w:lang w:val="en-US"/>
        </w:rPr>
        <w:t xml:space="preserve">{ </w:t>
      </w:r>
      <w:proofErr w:type="spellStart"/>
      <w:proofErr w:type="gramEnd"/>
      <w:r w:rsidR="00C7526E">
        <w:rPr>
          <w:color w:val="0000FF"/>
          <w:lang w:val="en-US"/>
        </w:rPr>
        <w:t>reg_number</w:t>
      </w:r>
      <w:proofErr w:type="spellEnd"/>
      <w:r w:rsidR="00C7526E">
        <w:rPr>
          <w:color w:val="0000FF"/>
          <w:lang w:val="en-US"/>
        </w:rPr>
        <w:t xml:space="preserve">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052B7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administrative.oblast</w:t>
            </w:r>
            <w:proofErr w:type="spellEnd"/>
            <w:r w:rsidRPr="006A5BBA">
              <w:rPr>
                <w:b/>
                <w:color w:val="0000FF"/>
                <w:sz w:val="28"/>
                <w:lang w:val="en-US"/>
              </w:rPr>
              <w:t xml:space="preserve">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administrative.rayon</w:t>
            </w:r>
            <w:proofErr w:type="spellEnd"/>
            <w:r w:rsidR="006A5BBA">
              <w:rPr>
                <w:b/>
                <w:color w:val="0000FF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>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price_type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Pr="00747D66">
              <w:rPr>
                <w:b/>
                <w:color w:val="0000FF"/>
                <w:sz w:val="28"/>
                <w:lang w:val="en-US"/>
              </w:rPr>
              <w:t>valuation_purpose</w:t>
            </w:r>
            <w:proofErr w:type="spellEnd"/>
            <w:r w:rsidRPr="00747D66"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buyer_name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owner_name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>{</w:t>
      </w:r>
      <w:proofErr w:type="gramStart"/>
      <w:r w:rsidRPr="00AE2270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AE2270">
        <w:rPr>
          <w:lang w:val="en-US"/>
        </w:rPr>
        <w:t>_logo</w:t>
      </w:r>
      <w:proofErr w:type="spellEnd"/>
      <w:r w:rsidRPr="00AE2270">
        <w:rPr>
          <w:lang w:val="en-US"/>
        </w:rPr>
        <w:t xml:space="preserve">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number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date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7706C9">
      <w:pPr>
        <w:pStyle w:val="a3"/>
        <w:ind w:left="0"/>
        <w:jc w:val="left"/>
        <w:rPr>
          <w:b/>
          <w:sz w:val="16"/>
        </w:rPr>
      </w:pPr>
      <w:r w:rsidRPr="007706C9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>{</w:t>
      </w:r>
      <w:proofErr w:type="gramStart"/>
      <w:r w:rsidR="00747D66" w:rsidRPr="00FE2CDA">
        <w:rPr>
          <w:sz w:val="16"/>
          <w:u w:val="single"/>
          <w:lang w:val="en-US"/>
        </w:rPr>
        <w:t xml:space="preserve">{ </w:t>
      </w:r>
      <w:proofErr w:type="spellStart"/>
      <w:r w:rsidR="00747D66">
        <w:rPr>
          <w:sz w:val="16"/>
          <w:u w:val="single"/>
          <w:lang w:val="en-US"/>
        </w:rPr>
        <w:t>reg</w:t>
      </w:r>
      <w:proofErr w:type="gramEnd"/>
      <w:r w:rsidR="00747D66" w:rsidRPr="00FE2CDA">
        <w:rPr>
          <w:sz w:val="16"/>
          <w:u w:val="single"/>
          <w:lang w:val="en-US"/>
        </w:rPr>
        <w:t>_</w:t>
      </w:r>
      <w:r w:rsidR="00747D66">
        <w:rPr>
          <w:sz w:val="16"/>
          <w:u w:val="single"/>
          <w:lang w:val="en-US"/>
        </w:rPr>
        <w:t>number</w:t>
      </w:r>
      <w:proofErr w:type="spellEnd"/>
      <w:r w:rsidR="00747D66" w:rsidRPr="00FE2CDA">
        <w:rPr>
          <w:sz w:val="16"/>
          <w:u w:val="single"/>
          <w:lang w:val="en-US"/>
        </w:rPr>
        <w:t xml:space="preserve">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</w:t>
      </w:r>
      <w:proofErr w:type="spellStart"/>
      <w:r w:rsidR="000D3117">
        <w:rPr>
          <w:sz w:val="16"/>
          <w:u w:val="single"/>
          <w:lang w:val="en-US"/>
        </w:rPr>
        <w:t>contract_date</w:t>
      </w:r>
      <w:proofErr w:type="spellEnd"/>
      <w:r w:rsidR="00FE2CDA">
        <w:rPr>
          <w:sz w:val="16"/>
          <w:u w:val="single"/>
          <w:lang w:val="en-US"/>
        </w:rPr>
        <w:t xml:space="preserve">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договором</w:t>
      </w:r>
      <w:r w:rsidRPr="006A5BBA">
        <w:rPr>
          <w:sz w:val="20"/>
          <w:szCs w:val="20"/>
          <w:lang w:val="en-US" w:eastAsia="ru-RU"/>
        </w:rPr>
        <w:t xml:space="preserve"> № {</w:t>
      </w:r>
      <w:proofErr w:type="gramStart"/>
      <w:r w:rsidRPr="006A5BB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6A5BBA">
        <w:rPr>
          <w:sz w:val="20"/>
          <w:szCs w:val="20"/>
          <w:lang w:val="en-US" w:eastAsia="ru-RU"/>
        </w:rPr>
        <w:t>contract_number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от</w:t>
      </w:r>
      <w:r w:rsidRPr="006A5BBA">
        <w:rPr>
          <w:sz w:val="20"/>
          <w:szCs w:val="20"/>
          <w:lang w:val="en-US" w:eastAsia="ru-RU"/>
        </w:rPr>
        <w:t xml:space="preserve"> {{ </w:t>
      </w:r>
      <w:proofErr w:type="spellStart"/>
      <w:r w:rsidRPr="006A5BBA">
        <w:rPr>
          <w:sz w:val="20"/>
          <w:szCs w:val="20"/>
          <w:lang w:val="en-US" w:eastAsia="ru-RU"/>
        </w:rPr>
        <w:t>contract_date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6A5BBA" w:rsidRPr="006A5BBA">
        <w:rPr>
          <w:sz w:val="20"/>
          <w:szCs w:val="20"/>
          <w:lang w:val="en-US" w:eastAsia="ru-RU"/>
        </w:rPr>
        <w:t>valuator_company_name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total_area</w:t>
      </w:r>
      <w:proofErr w:type="spellEnd"/>
      <w:r w:rsidRPr="00A1382E">
        <w:rPr>
          <w:sz w:val="20"/>
          <w:szCs w:val="20"/>
          <w:lang w:eastAsia="ru-RU"/>
        </w:rPr>
        <w:t xml:space="preserve"> }} м², включая жилую площадь — {{ </w:t>
      </w:r>
      <w:proofErr w:type="spellStart"/>
      <w:r w:rsidRPr="00A1382E">
        <w:rPr>
          <w:sz w:val="20"/>
          <w:szCs w:val="20"/>
          <w:lang w:eastAsia="ru-RU"/>
        </w:rPr>
        <w:t>living_area</w:t>
      </w:r>
      <w:proofErr w:type="spellEnd"/>
      <w:r w:rsidRPr="00A1382E">
        <w:rPr>
          <w:sz w:val="20"/>
          <w:szCs w:val="20"/>
          <w:lang w:eastAsia="ru-RU"/>
        </w:rPr>
        <w:t xml:space="preserve">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</w:t>
      </w:r>
      <w:proofErr w:type="spellStart"/>
      <w:r w:rsidRPr="006A5BBA">
        <w:rPr>
          <w:sz w:val="20"/>
          <w:szCs w:val="20"/>
          <w:lang w:val="en-US" w:eastAsia="ru-RU"/>
        </w:rPr>
        <w:t>land_area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адресу</w:t>
      </w:r>
      <w:r w:rsidRPr="006A5BBA">
        <w:rPr>
          <w:sz w:val="20"/>
          <w:szCs w:val="20"/>
          <w:lang w:val="en-US" w:eastAsia="ru-RU"/>
        </w:rPr>
        <w:t xml:space="preserve">: {{ </w:t>
      </w:r>
      <w:proofErr w:type="spellStart"/>
      <w:r w:rsidR="000D3117">
        <w:rPr>
          <w:sz w:val="20"/>
          <w:szCs w:val="20"/>
          <w:lang w:val="en-US" w:eastAsia="ru-RU"/>
        </w:rPr>
        <w:t>administrative.oblast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0D3117">
        <w:rPr>
          <w:sz w:val="20"/>
          <w:szCs w:val="20"/>
          <w:lang w:val="en-US" w:eastAsia="ru-RU"/>
        </w:rPr>
        <w:t>administrative.rayon</w:t>
      </w:r>
      <w:proofErr w:type="spellEnd"/>
      <w:r w:rsidRPr="006A5BBA">
        <w:rPr>
          <w:sz w:val="20"/>
          <w:szCs w:val="20"/>
          <w:lang w:val="en-US" w:eastAsia="ru-RU"/>
        </w:rPr>
        <w:t xml:space="preserve">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owner_name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>оценки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valuation_purpose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Осмотр объекта и оценочные процедуры проведены по состоянию на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inspection_date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стоимость объекта оценки по состоянию на {</w:t>
      </w:r>
      <w:proofErr w:type="gramStart"/>
      <w:r w:rsidRPr="00A1382E">
        <w:rPr>
          <w:b/>
          <w:bCs/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b/>
          <w:bCs/>
          <w:sz w:val="20"/>
          <w:szCs w:val="20"/>
          <w:lang w:eastAsia="ru-RU"/>
        </w:rPr>
        <w:t>contract_date</w:t>
      </w:r>
      <w:proofErr w:type="spellEnd"/>
      <w:r w:rsidRPr="00A1382E">
        <w:rPr>
          <w:b/>
          <w:bCs/>
          <w:sz w:val="20"/>
          <w:szCs w:val="20"/>
          <w:lang w:eastAsia="ru-RU"/>
        </w:rPr>
        <w:t xml:space="preserve">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>{</w:t>
      </w:r>
      <w:proofErr w:type="gramStart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 </w:t>
      </w:r>
      <w:proofErr w:type="spellStart"/>
      <w:r w:rsidR="00931FAF">
        <w:rPr>
          <w:rFonts w:ascii="Cambria" w:hAnsi="Cambria"/>
          <w:color w:val="0000FF"/>
          <w:w w:val="85"/>
          <w:u w:color="0000FF"/>
          <w:lang w:val="en-US"/>
        </w:rPr>
        <w:t>agreement.edited</w:t>
      </w:r>
      <w:proofErr w:type="gramEnd"/>
      <w:r w:rsidR="00931FAF">
        <w:rPr>
          <w:rFonts w:ascii="Cambria" w:hAnsi="Cambria"/>
          <w:color w:val="0000FF"/>
          <w:w w:val="85"/>
          <w:u w:color="0000FF"/>
          <w:lang w:val="en-US"/>
        </w:rPr>
        <w:t>_final_cost</w:t>
      </w:r>
      <w:proofErr w:type="spellEnd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.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gramStart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 }</w:t>
      </w:r>
      <w:proofErr w:type="gramEnd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>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>{</w:t>
      </w:r>
      <w:proofErr w:type="gramStart"/>
      <w:r w:rsidRPr="001C0982">
        <w:rPr>
          <w:b/>
          <w:sz w:val="20"/>
          <w:lang w:val="en-US"/>
        </w:rPr>
        <w:t xml:space="preserve">{ </w:t>
      </w:r>
      <w:proofErr w:type="spellStart"/>
      <w:r w:rsidR="006A5BBA">
        <w:rPr>
          <w:rFonts w:ascii="Cambria" w:hAnsi="Cambria"/>
          <w:sz w:val="24"/>
          <w:lang w:val="en-US"/>
        </w:rPr>
        <w:t>valuator</w:t>
      </w:r>
      <w:proofErr w:type="gramEnd"/>
      <w:r w:rsidR="006A5BBA">
        <w:rPr>
          <w:rFonts w:ascii="Cambria" w:hAnsi="Cambria"/>
          <w:sz w:val="24"/>
          <w:lang w:val="en-US"/>
        </w:rPr>
        <w:t>_company_name</w:t>
      </w:r>
      <w:proofErr w:type="spellEnd"/>
      <w:r w:rsidRPr="001C0982">
        <w:rPr>
          <w:b/>
          <w:sz w:val="20"/>
          <w:lang w:val="en-US"/>
        </w:rPr>
        <w:t xml:space="preserve">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>{</w:t>
      </w:r>
      <w:proofErr w:type="gramStart"/>
      <w:r w:rsidR="001C0982">
        <w:rPr>
          <w:b/>
          <w:sz w:val="20"/>
          <w:lang w:val="en-US"/>
        </w:rPr>
        <w:t xml:space="preserve">{ </w:t>
      </w:r>
      <w:proofErr w:type="spellStart"/>
      <w:r w:rsidR="001C0982">
        <w:rPr>
          <w:b/>
          <w:sz w:val="20"/>
          <w:lang w:val="en-US"/>
        </w:rPr>
        <w:t>appraiser</w:t>
      </w:r>
      <w:proofErr w:type="gramEnd"/>
      <w:r w:rsidR="001C0982">
        <w:rPr>
          <w:b/>
          <w:sz w:val="20"/>
          <w:lang w:val="en-US"/>
        </w:rPr>
        <w:t>_cutted_name</w:t>
      </w:r>
      <w:proofErr w:type="spellEnd"/>
      <w:r w:rsidR="001C0982">
        <w:rPr>
          <w:b/>
          <w:sz w:val="20"/>
          <w:lang w:val="en-US"/>
        </w:rPr>
        <w:t xml:space="preserve"> }}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>, расположенного по адресу: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sz w:val="20"/>
          <w:szCs w:val="20"/>
          <w:lang w:eastAsia="ru-RU"/>
        </w:rPr>
        <w:t>administrative.oblast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="000D3117">
        <w:rPr>
          <w:sz w:val="20"/>
          <w:szCs w:val="20"/>
          <w:lang w:eastAsia="ru-RU"/>
        </w:rPr>
        <w:t>administrative.rayon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Pr="00A1382E">
        <w:rPr>
          <w:sz w:val="20"/>
          <w:szCs w:val="20"/>
          <w:lang w:eastAsia="ru-RU"/>
        </w:rPr>
        <w:t>address</w:t>
      </w:r>
      <w:proofErr w:type="spellEnd"/>
      <w:r w:rsidRPr="00A1382E">
        <w:rPr>
          <w:sz w:val="20"/>
          <w:szCs w:val="20"/>
          <w:lang w:eastAsia="ru-RU"/>
        </w:rPr>
        <w:t xml:space="preserve"> }}, на земельном участке площадью {{ </w:t>
      </w:r>
      <w:proofErr w:type="spellStart"/>
      <w:r w:rsidRPr="00A1382E">
        <w:rPr>
          <w:sz w:val="20"/>
          <w:szCs w:val="20"/>
          <w:lang w:eastAsia="ru-RU"/>
        </w:rPr>
        <w:t>land_area</w:t>
      </w:r>
      <w:proofErr w:type="spellEnd"/>
      <w:r w:rsidRPr="00A1382E">
        <w:rPr>
          <w:sz w:val="20"/>
          <w:szCs w:val="20"/>
          <w:lang w:eastAsia="ru-RU"/>
        </w:rPr>
        <w:t xml:space="preserve"> }} м². Собственник объекта — {{ </w:t>
      </w:r>
      <w:proofErr w:type="spellStart"/>
      <w:r w:rsidRPr="00A1382E">
        <w:rPr>
          <w:sz w:val="20"/>
          <w:szCs w:val="20"/>
          <w:lang w:eastAsia="ru-RU"/>
        </w:rPr>
        <w:t>owner_name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Недвижимое имущество: индивидуальный жилой дом общей площадью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total_area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м², на земельном участке площадью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land_area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>{{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</w:t>
            </w:r>
            <w:r w:rsidR="0044684A">
              <w:rPr>
                <w:sz w:val="24"/>
                <w:szCs w:val="24"/>
                <w:lang w:val="en-US" w:eastAsia="ru-RU"/>
              </w:rPr>
              <w:t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contract_number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contract_date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valuation_purpose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inspection_date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1 USD =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exchange_rate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appraiser_surname</w:t>
            </w:r>
            <w:proofErr w:type="spellEnd"/>
            <w:proofErr w:type="gramStart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} 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appraiser_name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sertificate_number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 xml:space="preserve">}, выдан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sertificate_date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buyer_passport_series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 {{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buyer_passport_number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buyer_adress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6A5BBA">
              <w:rPr>
                <w:sz w:val="24"/>
                <w:szCs w:val="24"/>
                <w:lang w:eastAsia="ru-RU"/>
              </w:rPr>
              <w:t>valuator_company_name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</w:t>
            </w:r>
            <w:proofErr w:type="spellStart"/>
            <w:r w:rsidRPr="00E93941">
              <w:rPr>
                <w:sz w:val="24"/>
                <w:szCs w:val="24"/>
                <w:lang w:val="en-US" w:eastAsia="ru-RU"/>
              </w:rPr>
              <w:t>bank_account</w:t>
            </w:r>
            <w:proofErr w:type="spellEnd"/>
            <w:r w:rsidRPr="00E93941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6A5BBA" w:rsidRPr="008954E9">
              <w:rPr>
                <w:sz w:val="24"/>
                <w:szCs w:val="24"/>
                <w:lang w:val="en-US" w:eastAsia="ru-RU"/>
              </w:rPr>
              <w:t>valuator_inn</w:t>
            </w:r>
            <w:proofErr w:type="spellEnd"/>
            <w:r w:rsidRPr="008954E9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gramEnd"/>
            <w:r w:rsidRPr="008954E9">
              <w:rPr>
                <w:sz w:val="24"/>
                <w:szCs w:val="24"/>
                <w:lang w:val="en-US" w:eastAsia="ru-RU"/>
              </w:rPr>
              <w:t>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МФО: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mfo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052B7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insurance_name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insurance_number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insurance_date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agreement.total_cost_value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agreement.building_cost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agreement.land_cost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052B7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agreement.</w:t>
            </w:r>
            <w:r w:rsidRPr="00E93941">
              <w:rPr>
                <w:sz w:val="20"/>
                <w:szCs w:val="20"/>
                <w:lang w:val="en-US" w:eastAsia="ru-RU"/>
              </w:rPr>
              <w:t>comparative_final_cost_value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>{</w:t>
      </w:r>
      <w:proofErr w:type="gramStart"/>
      <w:r w:rsidRPr="00305909">
        <w:rPr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="00931FAF">
        <w:rPr>
          <w:b/>
          <w:bCs/>
          <w:sz w:val="20"/>
          <w:szCs w:val="20"/>
          <w:lang w:val="en-US" w:eastAsia="ru-RU"/>
        </w:rPr>
        <w:t>agreement.edited</w:t>
      </w:r>
      <w:proofErr w:type="gramEnd"/>
      <w:r w:rsidR="00931FAF">
        <w:rPr>
          <w:b/>
          <w:bCs/>
          <w:sz w:val="20"/>
          <w:szCs w:val="20"/>
          <w:lang w:val="en-US" w:eastAsia="ru-RU"/>
        </w:rPr>
        <w:t>_final_cost</w:t>
      </w:r>
      <w:proofErr w:type="spellEnd"/>
      <w:r w:rsidRPr="00305909">
        <w:rPr>
          <w:b/>
          <w:bCs/>
          <w:sz w:val="20"/>
          <w:szCs w:val="20"/>
          <w:lang w:val="en-US" w:eastAsia="ru-RU"/>
        </w:rPr>
        <w:t xml:space="preserve">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>( {</w:t>
      </w:r>
      <w:proofErr w:type="gramEnd"/>
      <w:r w:rsidRPr="00367A66">
        <w:rPr>
          <w:b/>
          <w:sz w:val="20"/>
          <w:szCs w:val="20"/>
          <w:lang w:val="en-US" w:eastAsia="ru-RU"/>
        </w:rPr>
        <w:t xml:space="preserve">{ </w:t>
      </w:r>
      <w:proofErr w:type="spellStart"/>
      <w:r w:rsidR="00931FAF" w:rsidRPr="00367A66">
        <w:rPr>
          <w:b/>
          <w:sz w:val="20"/>
          <w:szCs w:val="20"/>
          <w:lang w:val="en-US" w:eastAsia="ru-RU"/>
        </w:rPr>
        <w:t>agreement.amount_in_words</w:t>
      </w:r>
      <w:proofErr w:type="spellEnd"/>
      <w:r w:rsidRPr="00367A66">
        <w:rPr>
          <w:b/>
          <w:sz w:val="20"/>
          <w:szCs w:val="20"/>
          <w:lang w:val="en-US" w:eastAsia="ru-RU"/>
        </w:rPr>
        <w:t xml:space="preserve">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eastAsia="ru-RU"/>
              </w:rPr>
              <w:t>owner_name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valuation_purpose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price_type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</w:t>
      </w:r>
      <w:proofErr w:type="gramStart"/>
      <w:r w:rsidRPr="0093387D">
        <w:rPr>
          <w:sz w:val="20"/>
          <w:szCs w:val="20"/>
        </w:rPr>
        <w:t xml:space="preserve">{ </w:t>
      </w:r>
      <w:proofErr w:type="spellStart"/>
      <w:proofErr w:type="gramEnd"/>
      <w:r w:rsidRPr="0093387D">
        <w:rPr>
          <w:sz w:val="20"/>
          <w:szCs w:val="20"/>
        </w:rPr>
        <w:t>owner_name</w:t>
      </w:r>
      <w:proofErr w:type="spellEnd"/>
      <w:r w:rsidRPr="0093387D">
        <w:rPr>
          <w:sz w:val="20"/>
          <w:szCs w:val="20"/>
        </w:rPr>
        <w:t xml:space="preserve">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>{</w:t>
            </w:r>
            <w:proofErr w:type="gramStart"/>
            <w:r w:rsidRPr="00FD6B0E">
              <w:rPr>
                <w:sz w:val="20"/>
                <w:szCs w:val="20"/>
                <w:lang w:eastAsia="ru-RU"/>
              </w:rPr>
              <w:t xml:space="preserve">{ </w:t>
            </w:r>
            <w:proofErr w:type="gramEnd"/>
            <w:r>
              <w:rPr>
                <w:sz w:val="20"/>
                <w:szCs w:val="20"/>
                <w:lang w:val="en-US" w:eastAsia="ru-RU"/>
              </w:rPr>
              <w:t>land</w:t>
            </w:r>
            <w:r w:rsidRPr="00FD6B0E">
              <w:rPr>
                <w:sz w:val="20"/>
                <w:szCs w:val="20"/>
                <w:lang w:eastAsia="ru-RU"/>
              </w:rPr>
              <w:t>_</w:t>
            </w:r>
            <w:r>
              <w:rPr>
                <w:sz w:val="20"/>
                <w:szCs w:val="20"/>
                <w:lang w:val="en-US" w:eastAsia="ru-RU"/>
              </w:rPr>
              <w:t>area</w:t>
            </w:r>
            <w:r w:rsidRPr="00FD6B0E">
              <w:rPr>
                <w:sz w:val="20"/>
                <w:szCs w:val="20"/>
                <w:lang w:eastAsia="ru-RU"/>
              </w:rPr>
              <w:t xml:space="preserve">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>{{</w:t>
            </w:r>
            <w:r w:rsidR="0044684A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</w:t>
            </w:r>
            <w:r>
              <w:rPr>
                <w:sz w:val="20"/>
                <w:szCs w:val="20"/>
                <w:lang w:val="en-US" w:eastAsia="ru-RU"/>
              </w:rPr>
              <w:t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cadastral_number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</w:t>
      </w:r>
      <w:proofErr w:type="spellStart"/>
      <w:r w:rsidRPr="000039F4">
        <w:rPr>
          <w:sz w:val="20"/>
          <w:szCs w:val="20"/>
          <w:lang w:eastAsia="ru-RU"/>
        </w:rPr>
        <w:t>liters_block</w:t>
      </w:r>
      <w:proofErr w:type="spellEnd"/>
      <w:proofErr w:type="gramStart"/>
      <w:r w:rsidRPr="000039F4">
        <w:rPr>
          <w:sz w:val="20"/>
          <w:szCs w:val="20"/>
          <w:lang w:eastAsia="ru-RU"/>
        </w:rPr>
        <w:t xml:space="preserve"> }</w:t>
      </w:r>
      <w:proofErr w:type="gramEnd"/>
      <w:r w:rsidRPr="000039F4">
        <w:rPr>
          <w:sz w:val="20"/>
          <w:szCs w:val="20"/>
          <w:lang w:eastAsia="ru-RU"/>
        </w:rPr>
        <w:t>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</w:t>
      </w:r>
      <w:proofErr w:type="spellStart"/>
      <w:r w:rsidRPr="00B66391">
        <w:rPr>
          <w:sz w:val="20"/>
        </w:rPr>
        <w:t>regional_market_analysis</w:t>
      </w:r>
      <w:proofErr w:type="spellEnd"/>
      <w:proofErr w:type="gramStart"/>
      <w:r w:rsidRPr="00B66391">
        <w:rPr>
          <w:sz w:val="20"/>
        </w:rPr>
        <w:t xml:space="preserve"> }</w:t>
      </w:r>
      <w:proofErr w:type="gramEnd"/>
      <w:r w:rsidRPr="00B66391">
        <w:rPr>
          <w:sz w:val="20"/>
        </w:rPr>
        <w:t>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>{{</w:t>
      </w:r>
      <w:r w:rsidR="00810D01">
        <w:rPr>
          <w:sz w:val="20"/>
        </w:rPr>
        <w:t xml:space="preserve"> </w:t>
      </w:r>
      <w:r w:rsidRPr="00280FF0">
        <w:rPr>
          <w:sz w:val="20"/>
        </w:rPr>
        <w:t>TABLE_KADASTR</w:t>
      </w:r>
      <w:proofErr w:type="gramStart"/>
      <w:r w:rsidR="00810D01">
        <w:rPr>
          <w:sz w:val="20"/>
        </w:rPr>
        <w:t xml:space="preserve"> </w:t>
      </w:r>
      <w:r w:rsidRPr="00280FF0">
        <w:rPr>
          <w:sz w:val="20"/>
        </w:rPr>
        <w:t>}</w:t>
      </w:r>
      <w:proofErr w:type="gramEnd"/>
      <w:r w:rsidRPr="00280FF0">
        <w:rPr>
          <w:sz w:val="20"/>
        </w:rPr>
        <w:t>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>{</w:t>
      </w:r>
      <w:proofErr w:type="gramStart"/>
      <w:r w:rsidR="002B2935">
        <w:rPr>
          <w:color w:val="0000FF"/>
          <w:sz w:val="20"/>
        </w:rPr>
        <w:t xml:space="preserve">{ </w:t>
      </w:r>
      <w:proofErr w:type="spellStart"/>
      <w:proofErr w:type="gramEnd"/>
      <w:r w:rsidR="002B2935">
        <w:rPr>
          <w:color w:val="0000FF"/>
          <w:sz w:val="20"/>
        </w:rPr>
        <w:t>land_area</w:t>
      </w:r>
      <w:proofErr w:type="spellEnd"/>
      <w:r w:rsidR="002B2935">
        <w:rPr>
          <w:color w:val="0000FF"/>
          <w:sz w:val="20"/>
        </w:rPr>
        <w:t xml:space="preserve">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>{</w:t>
      </w:r>
      <w:proofErr w:type="gramStart"/>
      <w:r w:rsidR="002B2935" w:rsidRPr="002B2935">
        <w:rPr>
          <w:color w:val="0000FF"/>
          <w:spacing w:val="-4"/>
          <w:sz w:val="20"/>
        </w:rPr>
        <w:t xml:space="preserve">{ </w:t>
      </w:r>
      <w:proofErr w:type="gramEnd"/>
      <w:r w:rsidR="002B2935">
        <w:rPr>
          <w:color w:val="0000FF"/>
          <w:spacing w:val="-4"/>
          <w:sz w:val="20"/>
          <w:lang w:val="en-US"/>
        </w:rPr>
        <w:t>total</w:t>
      </w:r>
      <w:r w:rsidR="002B2935" w:rsidRPr="002B2935">
        <w:rPr>
          <w:color w:val="0000FF"/>
          <w:spacing w:val="-4"/>
          <w:sz w:val="20"/>
        </w:rPr>
        <w:t>_</w:t>
      </w:r>
      <w:r w:rsidR="002B2935">
        <w:rPr>
          <w:color w:val="0000FF"/>
          <w:spacing w:val="-4"/>
          <w:sz w:val="20"/>
          <w:lang w:val="en-US"/>
        </w:rPr>
        <w:t>area</w:t>
      </w:r>
      <w:r w:rsidR="002B2935" w:rsidRPr="002B2935">
        <w:rPr>
          <w:color w:val="0000FF"/>
          <w:spacing w:val="-4"/>
          <w:sz w:val="20"/>
        </w:rPr>
        <w:t xml:space="preserve">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</w:t>
      </w:r>
      <w:proofErr w:type="spellStart"/>
      <w:r>
        <w:t>engineering_description</w:t>
      </w:r>
      <w:proofErr w:type="spellEnd"/>
      <w:proofErr w:type="gramStart"/>
      <w:r>
        <w:t xml:space="preserve"> }</w:t>
      </w:r>
      <w:proofErr w:type="gramEnd"/>
      <w:r>
        <w:t>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>{</w:t>
      </w:r>
      <w:proofErr w:type="gramStart"/>
      <w:r w:rsidR="002B2935" w:rsidRPr="002B2935">
        <w:rPr>
          <w:color w:val="0000FF"/>
          <w:sz w:val="20"/>
        </w:rPr>
        <w:t xml:space="preserve">{ </w:t>
      </w:r>
      <w:proofErr w:type="gramEnd"/>
      <w:r w:rsidR="002B2935">
        <w:rPr>
          <w:color w:val="0000FF"/>
          <w:sz w:val="20"/>
          <w:lang w:val="en-US"/>
        </w:rPr>
        <w:t>owner</w:t>
      </w:r>
      <w:r w:rsidR="00593D7E" w:rsidRPr="00593D7E">
        <w:rPr>
          <w:color w:val="0000FF"/>
          <w:sz w:val="20"/>
        </w:rPr>
        <w:t>_</w:t>
      </w:r>
      <w:r w:rsidR="00593D7E">
        <w:rPr>
          <w:color w:val="0000FF"/>
          <w:sz w:val="20"/>
          <w:lang w:val="en-US"/>
        </w:rPr>
        <w:t>name</w:t>
      </w:r>
      <w:r w:rsidR="00593D7E" w:rsidRPr="00593D7E">
        <w:rPr>
          <w:color w:val="0000FF"/>
          <w:sz w:val="20"/>
        </w:rPr>
        <w:t xml:space="preserve"> </w:t>
      </w:r>
      <w:r w:rsidR="002B2935" w:rsidRPr="002B2935">
        <w:rPr>
          <w:color w:val="0000FF"/>
          <w:sz w:val="20"/>
        </w:rPr>
        <w:t>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useful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living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>cadastral_number</w:t>
            </w:r>
            <w:proofErr w:type="spellEnd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 соответствии с целями оценки, характеристиками объекта и сложившейся практикой, при определении рыночной стоимости применялись два основных подхода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 xml:space="preserve"> и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lastRenderedPageBreak/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{{ </w:t>
      </w:r>
      <w:proofErr w:type="spellStart"/>
      <w:r w:rsidRPr="00A71C4B">
        <w:rPr>
          <w:b/>
          <w:lang w:val="en-US"/>
        </w:rPr>
        <w:t>koeff</w:t>
      </w:r>
      <w:proofErr w:type="spellEnd"/>
      <w:r w:rsidRPr="00A71C4B">
        <w:rPr>
          <w:b/>
        </w:rPr>
        <w:t>_</w:t>
      </w:r>
      <w:r w:rsidRPr="00A71C4B">
        <w:rPr>
          <w:b/>
          <w:lang w:val="en-US"/>
        </w:rPr>
        <w:t>table</w:t>
      </w:r>
      <w:proofErr w:type="gramStart"/>
      <w:r w:rsidRPr="00052B7A">
        <w:rPr>
          <w:b/>
        </w:rPr>
        <w:t xml:space="preserve"> }</w:t>
      </w:r>
      <w:proofErr w:type="gramEnd"/>
      <w:r w:rsidRPr="00052B7A">
        <w:rPr>
          <w:b/>
        </w:rPr>
        <w:t>}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lastRenderedPageBreak/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 использовании значения ставки ЦБ на дату оценки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</w:t>
      </w:r>
      <w:proofErr w:type="spellStart"/>
      <w:r w:rsidRPr="007B73E7">
        <w:rPr>
          <w:b/>
          <w:bCs/>
          <w:sz w:val="20"/>
          <w:szCs w:val="20"/>
          <w:lang w:eastAsia="ru-RU"/>
        </w:rPr>
        <w:t>profit</w:t>
      </w:r>
      <w:proofErr w:type="spellEnd"/>
      <w:r w:rsidRPr="007B73E7">
        <w:rPr>
          <w:b/>
          <w:bCs/>
          <w:sz w:val="20"/>
          <w:szCs w:val="20"/>
          <w:lang w:eastAsia="ru-RU"/>
        </w:rPr>
        <w:t xml:space="preserve">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lastRenderedPageBreak/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{{ </w:t>
      </w:r>
      <w:r>
        <w:rPr>
          <w:rFonts w:ascii="Cambria" w:hAnsi="Cambria"/>
          <w:b/>
          <w:sz w:val="20"/>
          <w:lang w:val="en-US"/>
        </w:rPr>
        <w:t>liter</w:t>
      </w:r>
      <w:r w:rsidRPr="00047F90">
        <w:rPr>
          <w:rFonts w:ascii="Cambria" w:hAnsi="Cambria"/>
          <w:b/>
          <w:sz w:val="20"/>
        </w:rPr>
        <w:t>_</w:t>
      </w:r>
      <w:r>
        <w:rPr>
          <w:rFonts w:ascii="Cambria" w:hAnsi="Cambria"/>
          <w:b/>
          <w:sz w:val="20"/>
          <w:lang w:val="en-US"/>
        </w:rPr>
        <w:t>tables</w:t>
      </w:r>
      <w:proofErr w:type="gramStart"/>
      <w:r w:rsidRPr="00047F90">
        <w:rPr>
          <w:rFonts w:ascii="Cambria" w:hAnsi="Cambria"/>
          <w:b/>
          <w:sz w:val="20"/>
        </w:rPr>
        <w:t xml:space="preserve"> }</w:t>
      </w:r>
      <w:proofErr w:type="gramEnd"/>
      <w:r w:rsidRPr="00047F90">
        <w:rPr>
          <w:rFonts w:ascii="Cambria" w:hAnsi="Cambria"/>
          <w:b/>
          <w:sz w:val="20"/>
        </w:rPr>
        <w:t>}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</w:t>
      </w:r>
      <w:r w:rsidR="00367A66">
        <w:rPr>
          <w:b/>
          <w:color w:val="0000FF"/>
          <w:sz w:val="24"/>
          <w:u w:val="single" w:color="0000FF"/>
          <w:lang w:val="en-US"/>
        </w:rPr>
        <w:t>agreement</w:t>
      </w:r>
      <w:r w:rsidR="00367A66" w:rsidRPr="00B66391">
        <w:rPr>
          <w:b/>
          <w:color w:val="0000FF"/>
          <w:sz w:val="24"/>
          <w:u w:val="single" w:color="0000FF"/>
        </w:rPr>
        <w:t>.</w:t>
      </w:r>
      <w:r>
        <w:rPr>
          <w:b/>
          <w:color w:val="0000FF"/>
          <w:sz w:val="24"/>
          <w:u w:val="single" w:color="0000FF"/>
          <w:lang w:val="en-US"/>
        </w:rPr>
        <w:t>building</w:t>
      </w:r>
      <w:r w:rsidRPr="00367A66">
        <w:rPr>
          <w:b/>
          <w:color w:val="0000FF"/>
          <w:sz w:val="24"/>
          <w:u w:val="single" w:color="0000FF"/>
        </w:rPr>
        <w:t>_</w:t>
      </w:r>
      <w:r>
        <w:rPr>
          <w:b/>
          <w:color w:val="0000FF"/>
          <w:sz w:val="24"/>
          <w:u w:val="single" w:color="0000FF"/>
          <w:lang w:val="en-US"/>
        </w:rPr>
        <w:t>cost</w:t>
      </w:r>
      <w:proofErr w:type="gramStart"/>
      <w:r w:rsidRPr="00367A66">
        <w:rPr>
          <w:b/>
          <w:color w:val="0000FF"/>
          <w:sz w:val="24"/>
          <w:u w:val="single" w:color="0000FF"/>
        </w:rPr>
        <w:t xml:space="preserve"> }</w:t>
      </w:r>
      <w:proofErr w:type="gramEnd"/>
      <w:r w:rsidRPr="00367A66">
        <w:rPr>
          <w:b/>
          <w:color w:val="0000FF"/>
          <w:sz w:val="24"/>
          <w:u w:val="single" w:color="0000FF"/>
        </w:rPr>
        <w:t>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Оцениваемый земельный участок площадью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9D1BA6">
        <w:rPr>
          <w:sz w:val="20"/>
          <w:szCs w:val="20"/>
          <w:lang w:eastAsia="ru-RU"/>
        </w:rPr>
        <w:t>land_area</w:t>
      </w:r>
      <w:proofErr w:type="spellEnd"/>
      <w:r w:rsidRPr="009D1BA6">
        <w:rPr>
          <w:sz w:val="20"/>
          <w:szCs w:val="20"/>
          <w:lang w:eastAsia="ru-RU"/>
        </w:rPr>
        <w:t xml:space="preserve">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рамках настоящей оценки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gramEnd"/>
      <w:r>
        <w:rPr>
          <w:sz w:val="20"/>
          <w:szCs w:val="20"/>
          <w:lang w:val="en-US" w:eastAsia="ru-RU"/>
        </w:rPr>
        <w:t>analogs</w:t>
      </w:r>
      <w:r w:rsidRPr="009D1BA6">
        <w:rPr>
          <w:sz w:val="20"/>
          <w:szCs w:val="20"/>
          <w:lang w:eastAsia="ru-RU"/>
        </w:rPr>
        <w:t>_</w:t>
      </w:r>
      <w:r>
        <w:rPr>
          <w:sz w:val="20"/>
          <w:szCs w:val="20"/>
          <w:lang w:val="en-US" w:eastAsia="ru-RU"/>
        </w:rPr>
        <w:t>count</w:t>
      </w:r>
      <w:r w:rsidRPr="009D1BA6">
        <w:rPr>
          <w:sz w:val="20"/>
          <w:szCs w:val="20"/>
          <w:lang w:eastAsia="ru-RU"/>
        </w:rPr>
        <w:t xml:space="preserve"> }}, расположенных на территории </w:t>
      </w:r>
      <w:r>
        <w:rPr>
          <w:sz w:val="20"/>
          <w:szCs w:val="20"/>
          <w:lang w:eastAsia="ru-RU"/>
        </w:rPr>
        <w:t>расположения объекта оценки (</w:t>
      </w:r>
      <w:r w:rsidRPr="009D1BA6">
        <w:rPr>
          <w:sz w:val="20"/>
          <w:szCs w:val="20"/>
          <w:lang w:eastAsia="ru-RU"/>
        </w:rPr>
        <w:t xml:space="preserve">{{ </w:t>
      </w:r>
      <w:proofErr w:type="spellStart"/>
      <w:r w:rsidRPr="009D1BA6">
        <w:rPr>
          <w:sz w:val="20"/>
          <w:szCs w:val="20"/>
          <w:lang w:eastAsia="ru-RU"/>
        </w:rPr>
        <w:t>administrative.oblast</w:t>
      </w:r>
      <w:proofErr w:type="spellEnd"/>
      <w:r w:rsidRPr="009D1BA6">
        <w:rPr>
          <w:color w:val="0000FF"/>
        </w:rPr>
        <w:t xml:space="preserve">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lastRenderedPageBreak/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>{{ LAND_TABLE</w:t>
      </w:r>
      <w:proofErr w:type="gramStart"/>
      <w:r>
        <w:t xml:space="preserve"> }</w:t>
      </w:r>
      <w:proofErr w:type="gramEnd"/>
      <w:r>
        <w:t>}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</w:t>
      </w:r>
      <w:r w:rsidRPr="00C86392">
        <w:rPr>
          <w:color w:val="0000FF"/>
          <w:u w:val="single" w:color="0000FF"/>
          <w:lang w:val="en-US"/>
        </w:rPr>
        <w:t>agreement</w:t>
      </w:r>
      <w:r w:rsidRPr="00367A66">
        <w:rPr>
          <w:color w:val="0000FF"/>
          <w:u w:val="single" w:color="0000FF"/>
        </w:rPr>
        <w:t>.</w:t>
      </w:r>
      <w:r>
        <w:rPr>
          <w:color w:val="0000FF"/>
          <w:u w:val="single" w:color="0000FF"/>
          <w:lang w:val="en-US"/>
        </w:rPr>
        <w:t>land</w:t>
      </w:r>
      <w:r w:rsidRPr="00367A66">
        <w:rPr>
          <w:color w:val="0000FF"/>
          <w:u w:val="single" w:color="0000FF"/>
        </w:rPr>
        <w:t>_</w:t>
      </w:r>
      <w:r>
        <w:rPr>
          <w:color w:val="0000FF"/>
          <w:u w:val="single" w:color="0000FF"/>
          <w:lang w:val="en-US"/>
        </w:rPr>
        <w:t>cost</w:t>
      </w:r>
      <w:proofErr w:type="gramStart"/>
      <w:r w:rsidRPr="00367A66">
        <w:rPr>
          <w:color w:val="0000FF"/>
          <w:u w:val="single" w:color="0000FF"/>
        </w:rPr>
        <w:t xml:space="preserve"> }</w:t>
      </w:r>
      <w:proofErr w:type="gramEnd"/>
      <w:r w:rsidRPr="00367A66">
        <w:rPr>
          <w:color w:val="0000FF"/>
          <w:u w:val="single" w:color="0000FF"/>
        </w:rPr>
        <w:t>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>{</w:t>
      </w:r>
      <w:proofErr w:type="gramStart"/>
      <w:r w:rsidRPr="00367A66">
        <w:rPr>
          <w:color w:val="0000FF"/>
          <w:u w:val="single" w:color="0000FF"/>
          <w:lang w:val="en-US"/>
        </w:rPr>
        <w:t xml:space="preserve">{ </w:t>
      </w:r>
      <w:proofErr w:type="spellStart"/>
      <w:r w:rsidRPr="00367A66">
        <w:rPr>
          <w:color w:val="0000FF"/>
          <w:u w:val="single" w:color="0000FF"/>
          <w:lang w:val="en-US"/>
        </w:rPr>
        <w:t>agreement.building</w:t>
      </w:r>
      <w:proofErr w:type="gramEnd"/>
      <w:r w:rsidRPr="00367A66">
        <w:rPr>
          <w:color w:val="0000FF"/>
          <w:u w:val="single" w:color="0000FF"/>
          <w:lang w:val="en-US"/>
        </w:rPr>
        <w:t>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agreement.land_cost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agreement.total_cost_value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lastRenderedPageBreak/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{{ </w:t>
      </w:r>
      <w:r w:rsidRPr="009C4C9C">
        <w:rPr>
          <w:rFonts w:ascii="Cambria" w:hAnsi="Cambria"/>
          <w:lang w:val="en-US"/>
        </w:rPr>
        <w:t>comparative</w:t>
      </w:r>
      <w:r w:rsidRPr="009C4C9C">
        <w:rPr>
          <w:rFonts w:ascii="Cambria" w:hAnsi="Cambria"/>
        </w:rPr>
        <w:t>_</w:t>
      </w:r>
      <w:r w:rsidRPr="009C4C9C">
        <w:rPr>
          <w:rFonts w:ascii="Cambria" w:hAnsi="Cambria"/>
          <w:lang w:val="en-US"/>
        </w:rPr>
        <w:t>table</w:t>
      </w:r>
      <w:proofErr w:type="gramStart"/>
      <w:r w:rsidRPr="00DF0891">
        <w:rPr>
          <w:rFonts w:ascii="Cambria" w:hAnsi="Cambria"/>
        </w:rPr>
        <w:t xml:space="preserve"> }</w:t>
      </w:r>
      <w:proofErr w:type="gramEnd"/>
      <w:r w:rsidRPr="00DF0891">
        <w:rPr>
          <w:rFonts w:ascii="Cambria" w:hAnsi="Cambria"/>
        </w:rPr>
        <w:t>}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</w:t>
      </w:r>
      <w:proofErr w:type="spellStart"/>
      <w:r w:rsidRPr="007B5ACA">
        <w:t>agreement_method_summary</w:t>
      </w:r>
      <w:proofErr w:type="spellEnd"/>
      <w:proofErr w:type="gramStart"/>
      <w:r w:rsidRPr="007B5ACA">
        <w:t xml:space="preserve"> }</w:t>
      </w:r>
      <w:proofErr w:type="gramEnd"/>
      <w:r w:rsidRPr="007B5ACA">
        <w:t>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{{ 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agreement</w:t>
      </w: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_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table</w:t>
      </w:r>
      <w:proofErr w:type="gramStart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}</w:t>
      </w:r>
      <w:proofErr w:type="gramEnd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}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>{</w:t>
      </w:r>
      <w:proofErr w:type="gramStart"/>
      <w:r w:rsidR="0058535B" w:rsidRPr="00A71C4B">
        <w:rPr>
          <w:color w:val="0000FF"/>
        </w:rPr>
        <w:t xml:space="preserve">{ </w:t>
      </w:r>
      <w:proofErr w:type="gramEnd"/>
      <w:r w:rsidR="0058535B">
        <w:rPr>
          <w:color w:val="0000FF"/>
          <w:lang w:val="en-US"/>
        </w:rPr>
        <w:t>total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</w:t>
      </w:r>
      <w:r w:rsidR="0058535B">
        <w:rPr>
          <w:color w:val="0000FF"/>
          <w:lang w:val="en-US"/>
        </w:rPr>
        <w:t>living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</w:t>
      </w:r>
      <w:r w:rsidR="002B2935" w:rsidRPr="004F22D2">
        <w:rPr>
          <w:color w:val="0000FF"/>
          <w:lang w:val="en-US"/>
        </w:rPr>
        <w:t>land</w:t>
      </w:r>
      <w:r w:rsidR="002B2935" w:rsidRPr="00A71C4B">
        <w:rPr>
          <w:color w:val="0000FF"/>
        </w:rPr>
        <w:t>_</w:t>
      </w:r>
      <w:r w:rsidR="002B2935" w:rsidRPr="004F22D2">
        <w:rPr>
          <w:color w:val="0000FF"/>
          <w:lang w:val="en-US"/>
        </w:rPr>
        <w:t>area</w:t>
      </w:r>
      <w:r w:rsidR="002B2935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>{{</w:t>
      </w:r>
      <w:r w:rsidR="0044684A" w:rsidRPr="00A71C4B">
        <w:rPr>
          <w:color w:val="0000FF"/>
        </w:rPr>
        <w:t xml:space="preserve">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oblast</w:t>
      </w:r>
      <w:r w:rsidR="003A10B2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rayon</w:t>
      </w:r>
      <w:r w:rsidR="0044684A" w:rsidRPr="00A71C4B">
        <w:rPr>
          <w:color w:val="0000FF"/>
        </w:rPr>
        <w:t xml:space="preserve"> </w:t>
      </w:r>
      <w:r w:rsidR="003A10B2" w:rsidRPr="00A71C4B">
        <w:rPr>
          <w:color w:val="0000FF"/>
        </w:rPr>
        <w:t>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</w:t>
      </w:r>
      <w:r w:rsidR="0044684A" w:rsidRPr="004F22D2">
        <w:rPr>
          <w:color w:val="0000FF"/>
          <w:lang w:val="en-US"/>
        </w:rPr>
        <w:t>address</w:t>
      </w:r>
      <w:r w:rsidR="0044684A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owner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name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inspection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date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>(</w:t>
      </w:r>
      <w:r w:rsidR="006B04FF">
        <w:rPr>
          <w:color w:val="0000FF"/>
          <w:lang w:val="en-US"/>
        </w:rPr>
        <w:t xml:space="preserve">{{ </w:t>
      </w:r>
      <w:proofErr w:type="spellStart"/>
      <w:r w:rsidR="006B04FF">
        <w:rPr>
          <w:color w:val="0000FF"/>
          <w:lang w:val="en-US"/>
        </w:rPr>
        <w:t>valuation_purpose</w:t>
      </w:r>
      <w:proofErr w:type="spellEnd"/>
      <w:r w:rsidR="006B04FF">
        <w:rPr>
          <w:color w:val="0000FF"/>
          <w:lang w:val="en-US"/>
        </w:rPr>
        <w:t xml:space="preserve">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>{</w:t>
      </w:r>
      <w:proofErr w:type="gramStart"/>
      <w:r w:rsidRPr="004F22D2">
        <w:rPr>
          <w:color w:val="0000FF"/>
          <w:u w:val="none"/>
          <w:lang w:val="en-US"/>
        </w:rPr>
        <w:t xml:space="preserve">{ </w:t>
      </w:r>
      <w:proofErr w:type="spellStart"/>
      <w:r w:rsidR="00931FAF" w:rsidRPr="004F22D2">
        <w:rPr>
          <w:color w:val="0000FF"/>
          <w:u w:val="none"/>
          <w:lang w:val="en-US"/>
        </w:rPr>
        <w:t>agreement.edited</w:t>
      </w:r>
      <w:proofErr w:type="gramEnd"/>
      <w:r w:rsidR="00931FAF" w:rsidRPr="004F22D2">
        <w:rPr>
          <w:color w:val="0000FF"/>
          <w:u w:val="none"/>
          <w:lang w:val="en-US"/>
        </w:rPr>
        <w:t>_final_cost</w:t>
      </w:r>
      <w:proofErr w:type="spellEnd"/>
      <w:r w:rsidRPr="004F22D2">
        <w:rPr>
          <w:color w:val="0000FF"/>
          <w:u w:val="none"/>
          <w:lang w:val="en-US"/>
        </w:rPr>
        <w:t xml:space="preserve">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({</w:t>
      </w:r>
      <w:proofErr w:type="gramStart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{ </w:t>
      </w:r>
      <w:proofErr w:type="spellStart"/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.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proofErr w:type="gram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spell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>{</w:t>
      </w:r>
      <w:proofErr w:type="gramStart"/>
      <w:r w:rsidR="001C0982" w:rsidRPr="00EE7CBE">
        <w:rPr>
          <w:b/>
          <w:sz w:val="20"/>
        </w:rPr>
        <w:t xml:space="preserve">{ </w:t>
      </w:r>
      <w:proofErr w:type="gramEnd"/>
      <w:r w:rsidR="001C0982">
        <w:rPr>
          <w:b/>
          <w:sz w:val="20"/>
          <w:lang w:val="en-US"/>
        </w:rPr>
        <w:t>appraiser</w:t>
      </w:r>
      <w:r w:rsidR="001C0982" w:rsidRPr="00EE7CBE">
        <w:rPr>
          <w:b/>
          <w:sz w:val="20"/>
        </w:rPr>
        <w:t>_</w:t>
      </w:r>
      <w:proofErr w:type="spellStart"/>
      <w:r w:rsidR="001C0982">
        <w:rPr>
          <w:b/>
          <w:sz w:val="20"/>
          <w:lang w:val="en-US"/>
        </w:rPr>
        <w:t>cutted</w:t>
      </w:r>
      <w:proofErr w:type="spellEnd"/>
      <w:r w:rsidR="001C0982" w:rsidRPr="00EE7CBE">
        <w:rPr>
          <w:b/>
          <w:sz w:val="20"/>
        </w:rPr>
        <w:t>_</w:t>
      </w:r>
      <w:r w:rsidR="001C0982">
        <w:rPr>
          <w:b/>
          <w:sz w:val="20"/>
          <w:lang w:val="en-US"/>
        </w:rPr>
        <w:t>name</w:t>
      </w:r>
      <w:r w:rsidR="001C0982" w:rsidRPr="00EE7CBE">
        <w:rPr>
          <w:b/>
          <w:sz w:val="20"/>
        </w:rPr>
        <w:t xml:space="preserve"> }}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A9" w:rsidRDefault="00CD65A9" w:rsidP="0043249B">
      <w:r>
        <w:separator/>
      </w:r>
    </w:p>
  </w:endnote>
  <w:endnote w:type="continuationSeparator" w:id="0">
    <w:p w:rsidR="00CD65A9" w:rsidRDefault="00CD65A9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706C9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>{</w:t>
                </w:r>
                <w:proofErr w:type="gramStart"/>
                <w:r>
                  <w:rPr>
                    <w:lang w:val="en-US"/>
                  </w:rPr>
                  <w:t xml:space="preserve">{ </w:t>
                </w:r>
                <w:proofErr w:type="spellStart"/>
                <w:proofErr w:type="gramEnd"/>
                <w:r>
                  <w:rPr>
                    <w:lang w:val="en-US"/>
                  </w:rPr>
                  <w:t>appraiser_cutted_name</w:t>
                </w:r>
                <w:proofErr w:type="spellEnd"/>
                <w:r>
                  <w:rPr>
                    <w:lang w:val="en-US"/>
                  </w:rPr>
                  <w:t xml:space="preserve"> }}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7706C9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052B7A">
                  <w:rPr>
                    <w:noProof/>
                    <w:spacing w:val="-5"/>
                  </w:rPr>
                  <w:t>13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A9" w:rsidRDefault="00CD65A9" w:rsidP="0043249B">
      <w:r>
        <w:separator/>
      </w:r>
    </w:p>
  </w:footnote>
  <w:footnote w:type="continuationSeparator" w:id="0">
    <w:p w:rsidR="00CD65A9" w:rsidRDefault="00CD65A9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706C9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{{ </w:t>
                </w:r>
                <w:proofErr w:type="spellStart"/>
                <w:r w:rsidRPr="00C63239"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company_name</w:t>
                </w:r>
                <w:proofErr w:type="spellEnd"/>
                <w:proofErr w:type="gramStart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 }</w:t>
                </w:r>
                <w:proofErr w:type="gramEnd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4"/>
  </w:num>
  <w:num w:numId="5">
    <w:abstractNumId w:val="4"/>
  </w:num>
  <w:num w:numId="6">
    <w:abstractNumId w:val="22"/>
  </w:num>
  <w:num w:numId="7">
    <w:abstractNumId w:val="25"/>
  </w:num>
  <w:num w:numId="8">
    <w:abstractNumId w:val="29"/>
  </w:num>
  <w:num w:numId="9">
    <w:abstractNumId w:val="8"/>
  </w:num>
  <w:num w:numId="10">
    <w:abstractNumId w:val="5"/>
  </w:num>
  <w:num w:numId="11">
    <w:abstractNumId w:val="9"/>
  </w:num>
  <w:num w:numId="12">
    <w:abstractNumId w:val="33"/>
  </w:num>
  <w:num w:numId="13">
    <w:abstractNumId w:val="32"/>
  </w:num>
  <w:num w:numId="14">
    <w:abstractNumId w:val="3"/>
  </w:num>
  <w:num w:numId="15">
    <w:abstractNumId w:val="31"/>
  </w:num>
  <w:num w:numId="16">
    <w:abstractNumId w:val="20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6"/>
  </w:num>
  <w:num w:numId="22">
    <w:abstractNumId w:val="2"/>
  </w:num>
  <w:num w:numId="23">
    <w:abstractNumId w:val="28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4"/>
  </w:num>
  <w:num w:numId="30">
    <w:abstractNumId w:val="21"/>
  </w:num>
  <w:num w:numId="31">
    <w:abstractNumId w:val="14"/>
  </w:num>
  <w:num w:numId="32">
    <w:abstractNumId w:val="30"/>
  </w:num>
  <w:num w:numId="33">
    <w:abstractNumId w:val="27"/>
  </w:num>
  <w:num w:numId="34">
    <w:abstractNumId w:val="26"/>
  </w:num>
  <w:num w:numId="35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11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977BE-BB72-4E23-B48D-512CEA4F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6180</Words>
  <Characters>35228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76</cp:revision>
  <dcterms:created xsi:type="dcterms:W3CDTF">2025-05-20T03:52:00Z</dcterms:created>
  <dcterms:modified xsi:type="dcterms:W3CDTF">2025-06-10T08:19:00Z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