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>{</w:t>
      </w:r>
      <w:proofErr w:type="gramStart"/>
      <w:r w:rsidRPr="006A5BBA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6A5BBA">
        <w:rPr>
          <w:lang w:val="en-US"/>
        </w:rPr>
        <w:t>_</w:t>
      </w:r>
      <w:r w:rsidRPr="00AE2270">
        <w:rPr>
          <w:lang w:val="en-US"/>
        </w:rPr>
        <w:t>logo</w:t>
      </w:r>
      <w:proofErr w:type="spellEnd"/>
      <w:r w:rsidRPr="006A5BBA">
        <w:rPr>
          <w:lang w:val="en-US"/>
        </w:rPr>
        <w:t xml:space="preserve">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 №{</w:t>
      </w:r>
      <w:proofErr w:type="gram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{ </w:t>
      </w:r>
      <w:proofErr w:type="spellStart"/>
      <w:proofErr w:type="gram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license_number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выданный Ассоциацией оценочных организаций Республики Узбекистан {{ </w:t>
      </w:r>
      <w:proofErr w:type="spell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license_date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года, предоставляющий право на осуществление оценочной деятельности</w:t>
      </w:r>
      <w:r>
        <w:t>.</w:t>
      </w:r>
    </w:p>
    <w:p w:rsidR="0043249B" w:rsidRPr="00E35E57" w:rsidRDefault="00832DF0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</w:t>
            </w:r>
            <w:proofErr w:type="spellStart"/>
            <w:r w:rsidR="006A5BBA">
              <w:rPr>
                <w:rFonts w:ascii="Cambria" w:hAnsi="Cambria"/>
                <w:sz w:val="24"/>
                <w:lang w:val="en-US"/>
              </w:rPr>
              <w:t>valuator_company_name</w:t>
            </w:r>
            <w:proofErr w:type="spellEnd"/>
            <w:proofErr w:type="gramStart"/>
            <w:r>
              <w:rPr>
                <w:rFonts w:ascii="Cambria" w:hAnsi="Cambria"/>
                <w:sz w:val="24"/>
              </w:rPr>
              <w:t xml:space="preserve"> }</w:t>
            </w:r>
            <w:proofErr w:type="gramEnd"/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</w:t>
      </w:r>
      <w:r w:rsidR="006A5BBA">
        <w:rPr>
          <w:rFonts w:ascii="Cambria" w:hAnsi="Cambria"/>
          <w:lang w:val="en-US"/>
        </w:rPr>
        <w:t>valuator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company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name</w:t>
      </w:r>
      <w:proofErr w:type="gramStart"/>
      <w:r>
        <w:rPr>
          <w:rFonts w:ascii="Cambria" w:hAnsi="Cambria"/>
          <w:w w:val="115"/>
          <w:u w:val="none"/>
        </w:rPr>
        <w:t xml:space="preserve"> }</w:t>
      </w:r>
      <w:proofErr w:type="gramEnd"/>
      <w:r>
        <w:rPr>
          <w:rFonts w:ascii="Cambria" w:hAnsi="Cambria"/>
          <w:w w:val="115"/>
          <w:u w:val="none"/>
        </w:rPr>
        <w:t>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№{</w:t>
      </w:r>
      <w:proofErr w:type="gramStart"/>
      <w:r w:rsidR="00E35E57" w:rsidRPr="00E35E57">
        <w:rPr>
          <w:rFonts w:ascii="Cambria" w:hAnsi="Cambria"/>
          <w:b/>
          <w:sz w:val="20"/>
        </w:rPr>
        <w:t xml:space="preserve">{ </w:t>
      </w:r>
      <w:proofErr w:type="gramEnd"/>
      <w:r w:rsidR="00E35E57" w:rsidRPr="00E35E57">
        <w:rPr>
          <w:rFonts w:ascii="Cambria" w:hAnsi="Cambria"/>
          <w:b/>
          <w:sz w:val="20"/>
        </w:rPr>
        <w:t>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>{</w:t>
      </w:r>
      <w:proofErr w:type="gramStart"/>
      <w:r w:rsidR="00C7526E">
        <w:rPr>
          <w:color w:val="0000FF"/>
          <w:lang w:val="en-US"/>
        </w:rPr>
        <w:t xml:space="preserve">{ </w:t>
      </w:r>
      <w:proofErr w:type="spellStart"/>
      <w:proofErr w:type="gramEnd"/>
      <w:r w:rsidR="00C7526E">
        <w:rPr>
          <w:color w:val="0000FF"/>
          <w:lang w:val="en-US"/>
        </w:rPr>
        <w:t>reg_number</w:t>
      </w:r>
      <w:proofErr w:type="spellEnd"/>
      <w:r w:rsidR="00C7526E">
        <w:rPr>
          <w:color w:val="0000FF"/>
          <w:lang w:val="en-US"/>
        </w:rPr>
        <w:t xml:space="preserve">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796863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administrative.oblast</w:t>
            </w:r>
            <w:proofErr w:type="spellEnd"/>
            <w:r w:rsidRPr="006A5BBA">
              <w:rPr>
                <w:b/>
                <w:color w:val="0000FF"/>
                <w:sz w:val="28"/>
                <w:lang w:val="en-US"/>
              </w:rPr>
              <w:t xml:space="preserve">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administrative.rayon</w:t>
            </w:r>
            <w:proofErr w:type="spellEnd"/>
            <w:r w:rsidR="006A5BBA">
              <w:rPr>
                <w:b/>
                <w:color w:val="0000FF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>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price_type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Pr="00747D66">
              <w:rPr>
                <w:b/>
                <w:color w:val="0000FF"/>
                <w:sz w:val="28"/>
                <w:lang w:val="en-US"/>
              </w:rPr>
              <w:t>valuation_purpose</w:t>
            </w:r>
            <w:proofErr w:type="spellEnd"/>
            <w:r w:rsidRPr="00747D66"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buyer_name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owner_name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>{</w:t>
      </w:r>
      <w:proofErr w:type="gramStart"/>
      <w:r w:rsidRPr="00AE2270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AE2270">
        <w:rPr>
          <w:lang w:val="en-US"/>
        </w:rPr>
        <w:t>_logo</w:t>
      </w:r>
      <w:proofErr w:type="spellEnd"/>
      <w:r w:rsidRPr="00AE2270">
        <w:rPr>
          <w:lang w:val="en-US"/>
        </w:rPr>
        <w:t xml:space="preserve">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number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date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832DF0">
      <w:pPr>
        <w:pStyle w:val="a3"/>
        <w:ind w:left="0"/>
        <w:jc w:val="left"/>
        <w:rPr>
          <w:b/>
          <w:sz w:val="16"/>
        </w:rPr>
      </w:pPr>
      <w:r w:rsidRPr="00832DF0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>{</w:t>
      </w:r>
      <w:proofErr w:type="gramStart"/>
      <w:r w:rsidR="00747D66" w:rsidRPr="00FE2CDA">
        <w:rPr>
          <w:sz w:val="16"/>
          <w:u w:val="single"/>
          <w:lang w:val="en-US"/>
        </w:rPr>
        <w:t xml:space="preserve">{ </w:t>
      </w:r>
      <w:proofErr w:type="spellStart"/>
      <w:r w:rsidR="00747D66">
        <w:rPr>
          <w:sz w:val="16"/>
          <w:u w:val="single"/>
          <w:lang w:val="en-US"/>
        </w:rPr>
        <w:t>reg</w:t>
      </w:r>
      <w:proofErr w:type="gramEnd"/>
      <w:r w:rsidR="00747D66" w:rsidRPr="00FE2CDA">
        <w:rPr>
          <w:sz w:val="16"/>
          <w:u w:val="single"/>
          <w:lang w:val="en-US"/>
        </w:rPr>
        <w:t>_</w:t>
      </w:r>
      <w:r w:rsidR="00747D66">
        <w:rPr>
          <w:sz w:val="16"/>
          <w:u w:val="single"/>
          <w:lang w:val="en-US"/>
        </w:rPr>
        <w:t>number</w:t>
      </w:r>
      <w:proofErr w:type="spellEnd"/>
      <w:r w:rsidR="00747D66" w:rsidRPr="00FE2CDA">
        <w:rPr>
          <w:sz w:val="16"/>
          <w:u w:val="single"/>
          <w:lang w:val="en-US"/>
        </w:rPr>
        <w:t xml:space="preserve">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</w:t>
      </w:r>
      <w:proofErr w:type="spellStart"/>
      <w:r w:rsidR="000D3117">
        <w:rPr>
          <w:sz w:val="16"/>
          <w:u w:val="single"/>
          <w:lang w:val="en-US"/>
        </w:rPr>
        <w:t>contract_date</w:t>
      </w:r>
      <w:proofErr w:type="spellEnd"/>
      <w:r w:rsidR="00FE2CDA">
        <w:rPr>
          <w:sz w:val="16"/>
          <w:u w:val="single"/>
          <w:lang w:val="en-US"/>
        </w:rPr>
        <w:t xml:space="preserve">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договором</w:t>
      </w:r>
      <w:r w:rsidRPr="006A5BBA">
        <w:rPr>
          <w:sz w:val="20"/>
          <w:szCs w:val="20"/>
          <w:lang w:val="en-US" w:eastAsia="ru-RU"/>
        </w:rPr>
        <w:t xml:space="preserve"> № {</w:t>
      </w:r>
      <w:proofErr w:type="gramStart"/>
      <w:r w:rsidRPr="006A5BB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6A5BBA">
        <w:rPr>
          <w:sz w:val="20"/>
          <w:szCs w:val="20"/>
          <w:lang w:val="en-US" w:eastAsia="ru-RU"/>
        </w:rPr>
        <w:t>contract_number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от</w:t>
      </w:r>
      <w:r w:rsidRPr="006A5BBA">
        <w:rPr>
          <w:sz w:val="20"/>
          <w:szCs w:val="20"/>
          <w:lang w:val="en-US" w:eastAsia="ru-RU"/>
        </w:rPr>
        <w:t xml:space="preserve"> {{ </w:t>
      </w:r>
      <w:proofErr w:type="spellStart"/>
      <w:r w:rsidRPr="006A5BBA">
        <w:rPr>
          <w:sz w:val="20"/>
          <w:szCs w:val="20"/>
          <w:lang w:val="en-US" w:eastAsia="ru-RU"/>
        </w:rPr>
        <w:t>contract_date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6A5BBA" w:rsidRPr="006A5BBA">
        <w:rPr>
          <w:sz w:val="20"/>
          <w:szCs w:val="20"/>
          <w:lang w:val="en-US" w:eastAsia="ru-RU"/>
        </w:rPr>
        <w:t>valuator_company_name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total_area</w:t>
      </w:r>
      <w:proofErr w:type="spellEnd"/>
      <w:r w:rsidRPr="00A1382E">
        <w:rPr>
          <w:sz w:val="20"/>
          <w:szCs w:val="20"/>
          <w:lang w:eastAsia="ru-RU"/>
        </w:rPr>
        <w:t xml:space="preserve"> }} м², включая жилую площадь — {{ </w:t>
      </w:r>
      <w:proofErr w:type="spellStart"/>
      <w:r w:rsidRPr="00A1382E">
        <w:rPr>
          <w:sz w:val="20"/>
          <w:szCs w:val="20"/>
          <w:lang w:eastAsia="ru-RU"/>
        </w:rPr>
        <w:t>living_area</w:t>
      </w:r>
      <w:proofErr w:type="spellEnd"/>
      <w:r w:rsidRPr="00A1382E">
        <w:rPr>
          <w:sz w:val="20"/>
          <w:szCs w:val="20"/>
          <w:lang w:eastAsia="ru-RU"/>
        </w:rPr>
        <w:t xml:space="preserve">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</w:t>
      </w:r>
      <w:proofErr w:type="spellStart"/>
      <w:r w:rsidRPr="006A5BBA">
        <w:rPr>
          <w:sz w:val="20"/>
          <w:szCs w:val="20"/>
          <w:lang w:val="en-US" w:eastAsia="ru-RU"/>
        </w:rPr>
        <w:t>land_area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адресу</w:t>
      </w:r>
      <w:r w:rsidRPr="006A5BBA">
        <w:rPr>
          <w:sz w:val="20"/>
          <w:szCs w:val="20"/>
          <w:lang w:val="en-US" w:eastAsia="ru-RU"/>
        </w:rPr>
        <w:t xml:space="preserve">: {{ </w:t>
      </w:r>
      <w:proofErr w:type="spellStart"/>
      <w:r w:rsidR="000D3117">
        <w:rPr>
          <w:sz w:val="20"/>
          <w:szCs w:val="20"/>
          <w:lang w:val="en-US" w:eastAsia="ru-RU"/>
        </w:rPr>
        <w:t>administrative.oblast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0D3117">
        <w:rPr>
          <w:sz w:val="20"/>
          <w:szCs w:val="20"/>
          <w:lang w:val="en-US" w:eastAsia="ru-RU"/>
        </w:rPr>
        <w:t>administrative.rayon</w:t>
      </w:r>
      <w:proofErr w:type="spellEnd"/>
      <w:r w:rsidRPr="006A5BBA">
        <w:rPr>
          <w:sz w:val="20"/>
          <w:szCs w:val="20"/>
          <w:lang w:val="en-US" w:eastAsia="ru-RU"/>
        </w:rPr>
        <w:t xml:space="preserve">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owner_name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>оценки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valuation_purpose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Осмотр объекта и оценочные процедуры проведены по состоянию на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inspection_date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стоимость объекта оценки по состоянию на {</w:t>
      </w:r>
      <w:proofErr w:type="gramStart"/>
      <w:r w:rsidRPr="00A1382E">
        <w:rPr>
          <w:b/>
          <w:bCs/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b/>
          <w:bCs/>
          <w:sz w:val="20"/>
          <w:szCs w:val="20"/>
          <w:lang w:eastAsia="ru-RU"/>
        </w:rPr>
        <w:t>contract_date</w:t>
      </w:r>
      <w:proofErr w:type="spellEnd"/>
      <w:r w:rsidRPr="00A1382E">
        <w:rPr>
          <w:b/>
          <w:bCs/>
          <w:sz w:val="20"/>
          <w:szCs w:val="20"/>
          <w:lang w:eastAsia="ru-RU"/>
        </w:rPr>
        <w:t xml:space="preserve">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>{</w:t>
      </w:r>
      <w:proofErr w:type="gramStart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 </w:t>
      </w:r>
      <w:proofErr w:type="spellStart"/>
      <w:r w:rsidR="00931FAF">
        <w:rPr>
          <w:rFonts w:ascii="Cambria" w:hAnsi="Cambria"/>
          <w:color w:val="0000FF"/>
          <w:w w:val="85"/>
          <w:u w:color="0000FF"/>
          <w:lang w:val="en-US"/>
        </w:rPr>
        <w:t>agreement.edited</w:t>
      </w:r>
      <w:proofErr w:type="gramEnd"/>
      <w:r w:rsidR="00931FAF">
        <w:rPr>
          <w:rFonts w:ascii="Cambria" w:hAnsi="Cambria"/>
          <w:color w:val="0000FF"/>
          <w:w w:val="85"/>
          <w:u w:color="0000FF"/>
          <w:lang w:val="en-US"/>
        </w:rPr>
        <w:t>_final_cost</w:t>
      </w:r>
      <w:proofErr w:type="spellEnd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.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gramStart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 }</w:t>
      </w:r>
      <w:proofErr w:type="gramEnd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>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>{</w:t>
      </w:r>
      <w:proofErr w:type="gramStart"/>
      <w:r w:rsidRPr="001C0982">
        <w:rPr>
          <w:b/>
          <w:sz w:val="20"/>
          <w:lang w:val="en-US"/>
        </w:rPr>
        <w:t xml:space="preserve">{ </w:t>
      </w:r>
      <w:proofErr w:type="spellStart"/>
      <w:r w:rsidR="006A5BBA">
        <w:rPr>
          <w:rFonts w:ascii="Cambria" w:hAnsi="Cambria"/>
          <w:sz w:val="24"/>
          <w:lang w:val="en-US"/>
        </w:rPr>
        <w:t>valuator</w:t>
      </w:r>
      <w:proofErr w:type="gramEnd"/>
      <w:r w:rsidR="006A5BBA">
        <w:rPr>
          <w:rFonts w:ascii="Cambria" w:hAnsi="Cambria"/>
          <w:sz w:val="24"/>
          <w:lang w:val="en-US"/>
        </w:rPr>
        <w:t>_company_name</w:t>
      </w:r>
      <w:proofErr w:type="spellEnd"/>
      <w:r w:rsidRPr="001C0982">
        <w:rPr>
          <w:b/>
          <w:sz w:val="20"/>
          <w:lang w:val="en-US"/>
        </w:rPr>
        <w:t xml:space="preserve">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>{</w:t>
      </w:r>
      <w:proofErr w:type="gramStart"/>
      <w:r w:rsidR="001C0982">
        <w:rPr>
          <w:b/>
          <w:sz w:val="20"/>
          <w:lang w:val="en-US"/>
        </w:rPr>
        <w:t xml:space="preserve">{ </w:t>
      </w:r>
      <w:proofErr w:type="spellStart"/>
      <w:r w:rsidR="001C0982">
        <w:rPr>
          <w:b/>
          <w:sz w:val="20"/>
          <w:lang w:val="en-US"/>
        </w:rPr>
        <w:t>appraiser</w:t>
      </w:r>
      <w:proofErr w:type="gramEnd"/>
      <w:r w:rsidR="001C0982">
        <w:rPr>
          <w:b/>
          <w:sz w:val="20"/>
          <w:lang w:val="en-US"/>
        </w:rPr>
        <w:t>_cutted_name</w:t>
      </w:r>
      <w:proofErr w:type="spellEnd"/>
      <w:r w:rsidR="001C0982">
        <w:rPr>
          <w:b/>
          <w:sz w:val="20"/>
          <w:lang w:val="en-US"/>
        </w:rPr>
        <w:t xml:space="preserve"> }}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>, расположенного по адресу: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sz w:val="20"/>
          <w:szCs w:val="20"/>
          <w:lang w:eastAsia="ru-RU"/>
        </w:rPr>
        <w:t>administrative.oblast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="000D3117">
        <w:rPr>
          <w:sz w:val="20"/>
          <w:szCs w:val="20"/>
          <w:lang w:eastAsia="ru-RU"/>
        </w:rPr>
        <w:t>administrative.rayon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Pr="00A1382E">
        <w:rPr>
          <w:sz w:val="20"/>
          <w:szCs w:val="20"/>
          <w:lang w:eastAsia="ru-RU"/>
        </w:rPr>
        <w:t>address</w:t>
      </w:r>
      <w:proofErr w:type="spellEnd"/>
      <w:r w:rsidRPr="00A1382E">
        <w:rPr>
          <w:sz w:val="20"/>
          <w:szCs w:val="20"/>
          <w:lang w:eastAsia="ru-RU"/>
        </w:rPr>
        <w:t xml:space="preserve"> }}, на земельном участке площадью {{ </w:t>
      </w:r>
      <w:proofErr w:type="spellStart"/>
      <w:r w:rsidRPr="00A1382E">
        <w:rPr>
          <w:sz w:val="20"/>
          <w:szCs w:val="20"/>
          <w:lang w:eastAsia="ru-RU"/>
        </w:rPr>
        <w:t>land_area</w:t>
      </w:r>
      <w:proofErr w:type="spellEnd"/>
      <w:r w:rsidRPr="00A1382E">
        <w:rPr>
          <w:sz w:val="20"/>
          <w:szCs w:val="20"/>
          <w:lang w:eastAsia="ru-RU"/>
        </w:rPr>
        <w:t xml:space="preserve"> }} м². Собственник объекта — {{ </w:t>
      </w:r>
      <w:proofErr w:type="spellStart"/>
      <w:r w:rsidRPr="00A1382E">
        <w:rPr>
          <w:sz w:val="20"/>
          <w:szCs w:val="20"/>
          <w:lang w:eastAsia="ru-RU"/>
        </w:rPr>
        <w:t>owner_name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Недвижимое имущество: индивидуальный жилой дом общей площадью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total_area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м², на земельном участке площадью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land_area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>{{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</w:t>
            </w:r>
            <w:r w:rsidR="0044684A">
              <w:rPr>
                <w:sz w:val="24"/>
                <w:szCs w:val="24"/>
                <w:lang w:val="en-US" w:eastAsia="ru-RU"/>
              </w:rPr>
              <w:t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contract_number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contract_date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valuation_purpose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inspection_date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1 USD =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exchange_rate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appraiser_surname</w:t>
            </w:r>
            <w:proofErr w:type="spellEnd"/>
            <w:proofErr w:type="gramStart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} 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appraiser_name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sertificate_number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 xml:space="preserve">}, выдан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sertificate_date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buyer_passport_series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 {{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buyer_passport_number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buyer_adress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6A5BBA">
              <w:rPr>
                <w:sz w:val="24"/>
                <w:szCs w:val="24"/>
                <w:lang w:eastAsia="ru-RU"/>
              </w:rPr>
              <w:t>valuator_company_name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</w:t>
            </w:r>
            <w:proofErr w:type="spellStart"/>
            <w:r w:rsidRPr="00E93941">
              <w:rPr>
                <w:sz w:val="24"/>
                <w:szCs w:val="24"/>
                <w:lang w:val="en-US" w:eastAsia="ru-RU"/>
              </w:rPr>
              <w:t>bank_account</w:t>
            </w:r>
            <w:proofErr w:type="spellEnd"/>
            <w:r w:rsidRPr="00E93941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6A5BBA" w:rsidRPr="008954E9">
              <w:rPr>
                <w:sz w:val="24"/>
                <w:szCs w:val="24"/>
                <w:lang w:val="en-US" w:eastAsia="ru-RU"/>
              </w:rPr>
              <w:t>valuator_inn</w:t>
            </w:r>
            <w:proofErr w:type="spellEnd"/>
            <w:r w:rsidRPr="008954E9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gramEnd"/>
            <w:r w:rsidRPr="008954E9">
              <w:rPr>
                <w:sz w:val="24"/>
                <w:szCs w:val="24"/>
                <w:lang w:val="en-US" w:eastAsia="ru-RU"/>
              </w:rPr>
              <w:t>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МФО: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mfo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insurance_name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insurance_number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insurance_date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agreement.total_cost_value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agreement.building_cost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agreement.land_cost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796863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agreement.</w:t>
            </w:r>
            <w:r w:rsidRPr="00E93941">
              <w:rPr>
                <w:sz w:val="20"/>
                <w:szCs w:val="20"/>
                <w:lang w:val="en-US" w:eastAsia="ru-RU"/>
              </w:rPr>
              <w:t>comparative_final_cost_value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>{</w:t>
      </w:r>
      <w:proofErr w:type="gramStart"/>
      <w:r w:rsidRPr="00305909">
        <w:rPr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="00931FAF">
        <w:rPr>
          <w:b/>
          <w:bCs/>
          <w:sz w:val="20"/>
          <w:szCs w:val="20"/>
          <w:lang w:val="en-US" w:eastAsia="ru-RU"/>
        </w:rPr>
        <w:t>agreement.edited</w:t>
      </w:r>
      <w:proofErr w:type="gramEnd"/>
      <w:r w:rsidR="00931FAF">
        <w:rPr>
          <w:b/>
          <w:bCs/>
          <w:sz w:val="20"/>
          <w:szCs w:val="20"/>
          <w:lang w:val="en-US" w:eastAsia="ru-RU"/>
        </w:rPr>
        <w:t>_final_cost</w:t>
      </w:r>
      <w:proofErr w:type="spellEnd"/>
      <w:r w:rsidRPr="00305909">
        <w:rPr>
          <w:b/>
          <w:bCs/>
          <w:sz w:val="20"/>
          <w:szCs w:val="20"/>
          <w:lang w:val="en-US" w:eastAsia="ru-RU"/>
        </w:rPr>
        <w:t xml:space="preserve">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>( {</w:t>
      </w:r>
      <w:proofErr w:type="gramEnd"/>
      <w:r w:rsidRPr="00367A66">
        <w:rPr>
          <w:b/>
          <w:sz w:val="20"/>
          <w:szCs w:val="20"/>
          <w:lang w:val="en-US" w:eastAsia="ru-RU"/>
        </w:rPr>
        <w:t xml:space="preserve">{ </w:t>
      </w:r>
      <w:proofErr w:type="spellStart"/>
      <w:r w:rsidR="00931FAF" w:rsidRPr="00367A66">
        <w:rPr>
          <w:b/>
          <w:sz w:val="20"/>
          <w:szCs w:val="20"/>
          <w:lang w:val="en-US" w:eastAsia="ru-RU"/>
        </w:rPr>
        <w:t>agreement.amount_in_words</w:t>
      </w:r>
      <w:proofErr w:type="spellEnd"/>
      <w:r w:rsidRPr="00367A66">
        <w:rPr>
          <w:b/>
          <w:sz w:val="20"/>
          <w:szCs w:val="20"/>
          <w:lang w:val="en-US" w:eastAsia="ru-RU"/>
        </w:rPr>
        <w:t xml:space="preserve">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eastAsia="ru-RU"/>
              </w:rPr>
              <w:t>owner_name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valuation_purpose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price_type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</w:t>
      </w:r>
      <w:proofErr w:type="gramStart"/>
      <w:r w:rsidRPr="0093387D">
        <w:rPr>
          <w:sz w:val="20"/>
          <w:szCs w:val="20"/>
        </w:rPr>
        <w:t xml:space="preserve">{ </w:t>
      </w:r>
      <w:proofErr w:type="spellStart"/>
      <w:proofErr w:type="gramEnd"/>
      <w:r w:rsidRPr="0093387D">
        <w:rPr>
          <w:sz w:val="20"/>
          <w:szCs w:val="20"/>
        </w:rPr>
        <w:t>owner_name</w:t>
      </w:r>
      <w:proofErr w:type="spellEnd"/>
      <w:r w:rsidRPr="0093387D">
        <w:rPr>
          <w:sz w:val="20"/>
          <w:szCs w:val="20"/>
        </w:rPr>
        <w:t xml:space="preserve">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>{</w:t>
            </w:r>
            <w:proofErr w:type="gramStart"/>
            <w:r w:rsidRPr="00FD6B0E">
              <w:rPr>
                <w:sz w:val="20"/>
                <w:szCs w:val="20"/>
                <w:lang w:eastAsia="ru-RU"/>
              </w:rPr>
              <w:t xml:space="preserve">{ </w:t>
            </w:r>
            <w:proofErr w:type="gramEnd"/>
            <w:r>
              <w:rPr>
                <w:sz w:val="20"/>
                <w:szCs w:val="20"/>
                <w:lang w:val="en-US" w:eastAsia="ru-RU"/>
              </w:rPr>
              <w:t>land</w:t>
            </w:r>
            <w:r w:rsidRPr="00FD6B0E">
              <w:rPr>
                <w:sz w:val="20"/>
                <w:szCs w:val="20"/>
                <w:lang w:eastAsia="ru-RU"/>
              </w:rPr>
              <w:t>_</w:t>
            </w:r>
            <w:r>
              <w:rPr>
                <w:sz w:val="20"/>
                <w:szCs w:val="20"/>
                <w:lang w:val="en-US" w:eastAsia="ru-RU"/>
              </w:rPr>
              <w:t>area</w:t>
            </w:r>
            <w:r w:rsidRPr="00FD6B0E">
              <w:rPr>
                <w:sz w:val="20"/>
                <w:szCs w:val="20"/>
                <w:lang w:eastAsia="ru-RU"/>
              </w:rPr>
              <w:t xml:space="preserve">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>{{</w:t>
            </w:r>
            <w:r w:rsidR="0044684A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</w:t>
            </w:r>
            <w:r>
              <w:rPr>
                <w:sz w:val="20"/>
                <w:szCs w:val="20"/>
                <w:lang w:val="en-US" w:eastAsia="ru-RU"/>
              </w:rPr>
              <w:t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cadastral_number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</w:t>
      </w:r>
      <w:proofErr w:type="spellStart"/>
      <w:r w:rsidRPr="000039F4">
        <w:rPr>
          <w:sz w:val="20"/>
          <w:szCs w:val="20"/>
          <w:lang w:eastAsia="ru-RU"/>
        </w:rPr>
        <w:t>liters_block</w:t>
      </w:r>
      <w:proofErr w:type="spellEnd"/>
      <w:proofErr w:type="gramStart"/>
      <w:r w:rsidRPr="000039F4">
        <w:rPr>
          <w:sz w:val="20"/>
          <w:szCs w:val="20"/>
          <w:lang w:eastAsia="ru-RU"/>
        </w:rPr>
        <w:t xml:space="preserve"> }</w:t>
      </w:r>
      <w:proofErr w:type="gramEnd"/>
      <w:r w:rsidRPr="000039F4">
        <w:rPr>
          <w:sz w:val="20"/>
          <w:szCs w:val="20"/>
          <w:lang w:eastAsia="ru-RU"/>
        </w:rPr>
        <w:t>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</w:t>
      </w:r>
      <w:proofErr w:type="spellStart"/>
      <w:r w:rsidRPr="00B66391">
        <w:rPr>
          <w:sz w:val="20"/>
        </w:rPr>
        <w:t>regional_market_analysis</w:t>
      </w:r>
      <w:proofErr w:type="spellEnd"/>
      <w:proofErr w:type="gramStart"/>
      <w:r w:rsidRPr="00B66391">
        <w:rPr>
          <w:sz w:val="20"/>
        </w:rPr>
        <w:t xml:space="preserve"> }</w:t>
      </w:r>
      <w:proofErr w:type="gramEnd"/>
      <w:r w:rsidRPr="00B66391">
        <w:rPr>
          <w:sz w:val="20"/>
        </w:rPr>
        <w:t>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>{{</w:t>
      </w:r>
      <w:r w:rsidR="00810D01">
        <w:rPr>
          <w:sz w:val="20"/>
        </w:rPr>
        <w:t xml:space="preserve"> </w:t>
      </w:r>
      <w:r w:rsidRPr="00280FF0">
        <w:rPr>
          <w:sz w:val="20"/>
        </w:rPr>
        <w:t>TABLE_KADASTR</w:t>
      </w:r>
      <w:proofErr w:type="gramStart"/>
      <w:r w:rsidR="00810D01">
        <w:rPr>
          <w:sz w:val="20"/>
        </w:rPr>
        <w:t xml:space="preserve"> </w:t>
      </w:r>
      <w:r w:rsidRPr="00280FF0">
        <w:rPr>
          <w:sz w:val="20"/>
        </w:rPr>
        <w:t>}</w:t>
      </w:r>
      <w:proofErr w:type="gramEnd"/>
      <w:r w:rsidRPr="00280FF0">
        <w:rPr>
          <w:sz w:val="20"/>
        </w:rPr>
        <w:t>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>{</w:t>
      </w:r>
      <w:proofErr w:type="gramStart"/>
      <w:r w:rsidR="002B2935">
        <w:rPr>
          <w:color w:val="0000FF"/>
          <w:sz w:val="20"/>
        </w:rPr>
        <w:t xml:space="preserve">{ </w:t>
      </w:r>
      <w:proofErr w:type="spellStart"/>
      <w:proofErr w:type="gramEnd"/>
      <w:r w:rsidR="002B2935">
        <w:rPr>
          <w:color w:val="0000FF"/>
          <w:sz w:val="20"/>
        </w:rPr>
        <w:t>land_area</w:t>
      </w:r>
      <w:proofErr w:type="spellEnd"/>
      <w:r w:rsidR="002B2935">
        <w:rPr>
          <w:color w:val="0000FF"/>
          <w:sz w:val="20"/>
        </w:rPr>
        <w:t xml:space="preserve">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>{</w:t>
      </w:r>
      <w:proofErr w:type="gramStart"/>
      <w:r w:rsidR="002B2935" w:rsidRPr="002B2935">
        <w:rPr>
          <w:color w:val="0000FF"/>
          <w:spacing w:val="-4"/>
          <w:sz w:val="20"/>
        </w:rPr>
        <w:t xml:space="preserve">{ </w:t>
      </w:r>
      <w:proofErr w:type="gramEnd"/>
      <w:r w:rsidR="002B2935">
        <w:rPr>
          <w:color w:val="0000FF"/>
          <w:spacing w:val="-4"/>
          <w:sz w:val="20"/>
          <w:lang w:val="en-US"/>
        </w:rPr>
        <w:t>total</w:t>
      </w:r>
      <w:r w:rsidR="002B2935" w:rsidRPr="002B2935">
        <w:rPr>
          <w:color w:val="0000FF"/>
          <w:spacing w:val="-4"/>
          <w:sz w:val="20"/>
        </w:rPr>
        <w:t>_</w:t>
      </w:r>
      <w:r w:rsidR="002B2935">
        <w:rPr>
          <w:color w:val="0000FF"/>
          <w:spacing w:val="-4"/>
          <w:sz w:val="20"/>
          <w:lang w:val="en-US"/>
        </w:rPr>
        <w:t>area</w:t>
      </w:r>
      <w:r w:rsidR="002B2935" w:rsidRPr="002B2935">
        <w:rPr>
          <w:color w:val="0000FF"/>
          <w:spacing w:val="-4"/>
          <w:sz w:val="20"/>
        </w:rPr>
        <w:t xml:space="preserve">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</w:t>
      </w:r>
      <w:proofErr w:type="spellStart"/>
      <w:r>
        <w:t>engineering_description</w:t>
      </w:r>
      <w:proofErr w:type="spellEnd"/>
      <w:proofErr w:type="gramStart"/>
      <w:r>
        <w:t xml:space="preserve"> }</w:t>
      </w:r>
      <w:proofErr w:type="gramEnd"/>
      <w:r>
        <w:t>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>{</w:t>
      </w:r>
      <w:proofErr w:type="gramStart"/>
      <w:r w:rsidR="002B2935" w:rsidRPr="002B2935">
        <w:rPr>
          <w:color w:val="0000FF"/>
          <w:sz w:val="20"/>
        </w:rPr>
        <w:t xml:space="preserve">{ </w:t>
      </w:r>
      <w:proofErr w:type="gramEnd"/>
      <w:r w:rsidR="002B2935">
        <w:rPr>
          <w:color w:val="0000FF"/>
          <w:sz w:val="20"/>
          <w:lang w:val="en-US"/>
        </w:rPr>
        <w:t>owner</w:t>
      </w:r>
      <w:r w:rsidR="00593D7E" w:rsidRPr="00593D7E">
        <w:rPr>
          <w:color w:val="0000FF"/>
          <w:sz w:val="20"/>
        </w:rPr>
        <w:t>_</w:t>
      </w:r>
      <w:r w:rsidR="00593D7E">
        <w:rPr>
          <w:color w:val="0000FF"/>
          <w:sz w:val="20"/>
          <w:lang w:val="en-US"/>
        </w:rPr>
        <w:t>name</w:t>
      </w:r>
      <w:r w:rsidR="00593D7E" w:rsidRPr="00593D7E">
        <w:rPr>
          <w:color w:val="0000FF"/>
          <w:sz w:val="20"/>
        </w:rPr>
        <w:t xml:space="preserve"> </w:t>
      </w:r>
      <w:r w:rsidR="002B2935" w:rsidRPr="002B2935">
        <w:rPr>
          <w:color w:val="0000FF"/>
          <w:sz w:val="20"/>
        </w:rPr>
        <w:t>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useful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living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>cadastral_number</w:t>
            </w:r>
            <w:proofErr w:type="spellEnd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796863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796863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796863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Сравнительный (рыночный) подход не применялся, поскольку на дату оценки </w:t>
      </w:r>
      <w:r w:rsidRPr="00796863">
        <w:rPr>
          <w:rStyle w:val="ad"/>
          <w:sz w:val="20"/>
          <w:szCs w:val="20"/>
        </w:rPr>
        <w:t>отсутствуют достоверные и сопоставимые рыночные данные</w:t>
      </w:r>
      <w:r w:rsidRPr="00796863">
        <w:rPr>
          <w:sz w:val="20"/>
          <w:szCs w:val="20"/>
        </w:rPr>
        <w:t xml:space="preserve"> о сделках или предложениях по объектам, аналогичным </w:t>
      </w:r>
      <w:proofErr w:type="gramStart"/>
      <w:r w:rsidRPr="00796863">
        <w:rPr>
          <w:sz w:val="20"/>
          <w:szCs w:val="20"/>
        </w:rPr>
        <w:t>оцениваемому</w:t>
      </w:r>
      <w:proofErr w:type="gramEnd"/>
      <w:r w:rsidRPr="00796863">
        <w:rPr>
          <w:sz w:val="20"/>
          <w:szCs w:val="20"/>
        </w:rPr>
        <w:t>, что делает применение данного метода невозможным без нарушения принципа достоверности.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Согласно пункту 34 </w:t>
      </w:r>
      <w:r w:rsidRPr="00796863">
        <w:rPr>
          <w:rStyle w:val="ad"/>
          <w:sz w:val="20"/>
          <w:szCs w:val="20"/>
        </w:rPr>
        <w:t>Единого национального стандарта оценки имущества Республики Узбекистан (ЕНСО)</w:t>
      </w:r>
      <w:r w:rsidRPr="00796863">
        <w:rPr>
          <w:sz w:val="20"/>
          <w:szCs w:val="20"/>
        </w:rPr>
        <w:t xml:space="preserve">, сравнительный подход основан на анализе рыночных цен продажи или предложения аналогичных объектов с учётом корректировок на различия в характеристиках. Однако </w:t>
      </w:r>
      <w:r w:rsidRPr="00796863">
        <w:rPr>
          <w:rStyle w:val="ad"/>
          <w:sz w:val="20"/>
          <w:szCs w:val="20"/>
        </w:rPr>
        <w:t>ключевым условием его применения</w:t>
      </w:r>
      <w:r w:rsidRPr="00796863">
        <w:rPr>
          <w:sz w:val="20"/>
          <w:szCs w:val="20"/>
        </w:rPr>
        <w:t xml:space="preserve"> является наличие </w:t>
      </w:r>
      <w:r w:rsidRPr="00796863">
        <w:rPr>
          <w:rStyle w:val="ad"/>
          <w:sz w:val="20"/>
          <w:szCs w:val="20"/>
        </w:rPr>
        <w:t>достаточного объёма сопоставимой рыночной информации</w:t>
      </w:r>
      <w:r w:rsidRPr="00796863">
        <w:rPr>
          <w:sz w:val="20"/>
          <w:szCs w:val="20"/>
        </w:rPr>
        <w:t>, прошедшей верификацию и относящейся к дате оценки.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>В рассматриваемом случае проведение корректного сравнительного анализа невозможно по следующим причинам: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Отсутствие актуальных предложений на рынке</w:t>
      </w:r>
      <w:r w:rsidRPr="00796863">
        <w:rPr>
          <w:sz w:val="20"/>
          <w:szCs w:val="20"/>
        </w:rPr>
        <w:t xml:space="preserve">. В ходе маркетингового исследования установлено, что по состоянию на дату оценки объекты, сопоставимые по функциональному назначению, местоположению, размеру, уровню </w:t>
      </w:r>
      <w:proofErr w:type="gramStart"/>
      <w:r w:rsidRPr="00796863">
        <w:rPr>
          <w:sz w:val="20"/>
          <w:szCs w:val="20"/>
        </w:rPr>
        <w:t>технического исполнения</w:t>
      </w:r>
      <w:proofErr w:type="gramEnd"/>
      <w:r w:rsidRPr="00796863">
        <w:rPr>
          <w:sz w:val="20"/>
          <w:szCs w:val="20"/>
        </w:rPr>
        <w:t xml:space="preserve"> и другим ключевым параметрам, </w:t>
      </w:r>
      <w:r w:rsidRPr="00796863">
        <w:rPr>
          <w:rStyle w:val="ad"/>
          <w:sz w:val="20"/>
          <w:szCs w:val="20"/>
        </w:rPr>
        <w:t>отсутствуют в открытых источниках</w:t>
      </w:r>
      <w:r w:rsidRPr="00796863">
        <w:rPr>
          <w:sz w:val="20"/>
          <w:szCs w:val="20"/>
        </w:rPr>
        <w:t xml:space="preserve"> (</w:t>
      </w:r>
      <w:proofErr w:type="spellStart"/>
      <w:r w:rsidRPr="00796863">
        <w:rPr>
          <w:sz w:val="20"/>
          <w:szCs w:val="20"/>
        </w:rPr>
        <w:t>OLX.uz</w:t>
      </w:r>
      <w:proofErr w:type="spellEnd"/>
      <w:r w:rsidRPr="00796863">
        <w:rPr>
          <w:sz w:val="20"/>
          <w:szCs w:val="20"/>
        </w:rPr>
        <w:t xml:space="preserve">, </w:t>
      </w:r>
      <w:proofErr w:type="spellStart"/>
      <w:r w:rsidRPr="00796863">
        <w:rPr>
          <w:sz w:val="20"/>
          <w:szCs w:val="20"/>
        </w:rPr>
        <w:t>Dom.ria.uz</w:t>
      </w:r>
      <w:proofErr w:type="spellEnd"/>
      <w:r w:rsidRPr="00796863">
        <w:rPr>
          <w:sz w:val="20"/>
          <w:szCs w:val="20"/>
        </w:rPr>
        <w:t xml:space="preserve">, </w:t>
      </w:r>
      <w:proofErr w:type="spellStart"/>
      <w:r w:rsidRPr="00796863">
        <w:rPr>
          <w:sz w:val="20"/>
          <w:szCs w:val="20"/>
        </w:rPr>
        <w:t>ZOODMall</w:t>
      </w:r>
      <w:proofErr w:type="spellEnd"/>
      <w:r w:rsidRPr="00796863">
        <w:rPr>
          <w:sz w:val="20"/>
          <w:szCs w:val="20"/>
        </w:rPr>
        <w:t xml:space="preserve"> и др.), а также в базе внутреннего мониторинга оценщика.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Низкая активность на локальном сегменте рынка</w:t>
      </w:r>
      <w:r w:rsidRPr="00796863">
        <w:rPr>
          <w:sz w:val="20"/>
          <w:szCs w:val="20"/>
        </w:rPr>
        <w:t xml:space="preserve">. Объект расположен в районе с ограниченным числом сделок, где рынок недвижимости характеризуется </w:t>
      </w:r>
      <w:r w:rsidRPr="00796863">
        <w:rPr>
          <w:rStyle w:val="ad"/>
          <w:sz w:val="20"/>
          <w:szCs w:val="20"/>
        </w:rPr>
        <w:t>низкой ликвидностью</w:t>
      </w:r>
      <w:r w:rsidRPr="00796863">
        <w:rPr>
          <w:sz w:val="20"/>
          <w:szCs w:val="20"/>
        </w:rPr>
        <w:t xml:space="preserve"> и слабо выраженной рыночной динамикой. Отсутствие спроса и редкость сделок делает невозможным извлечение достоверной информации о ценах.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Информационная закрытость рынка</w:t>
      </w:r>
      <w:r w:rsidRPr="00796863">
        <w:rPr>
          <w:sz w:val="20"/>
          <w:szCs w:val="20"/>
        </w:rPr>
        <w:t xml:space="preserve">. В ряде случаев сделки с объектами недвижимости в регионе могут не регистрироваться в публичных источниках, а информация о реальных ценах — </w:t>
      </w:r>
      <w:r w:rsidRPr="00796863">
        <w:rPr>
          <w:rStyle w:val="ad"/>
          <w:sz w:val="20"/>
          <w:szCs w:val="20"/>
        </w:rPr>
        <w:t>не подлежать раскрытию</w:t>
      </w:r>
      <w:r w:rsidRPr="00796863">
        <w:rPr>
          <w:sz w:val="20"/>
          <w:szCs w:val="20"/>
        </w:rPr>
        <w:t>, что ограничивает доступ к репрезентативной выборке для анализа.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Невозможность проведения надёжных корректировок</w:t>
      </w:r>
      <w:r w:rsidRPr="00796863">
        <w:rPr>
          <w:sz w:val="20"/>
          <w:szCs w:val="20"/>
        </w:rPr>
        <w:t xml:space="preserve">. Даже при условном наличии отдалённо похожих предложений (например, отличающихся по назначению или конструкции), объекты имеют </w:t>
      </w:r>
      <w:r w:rsidRPr="00796863">
        <w:rPr>
          <w:rStyle w:val="ad"/>
          <w:sz w:val="20"/>
          <w:szCs w:val="20"/>
        </w:rPr>
        <w:t>настолько выраженные различия</w:t>
      </w:r>
      <w:r w:rsidRPr="00796863">
        <w:rPr>
          <w:sz w:val="20"/>
          <w:szCs w:val="20"/>
        </w:rPr>
        <w:t xml:space="preserve">, что применение количественных или качественных корректировок потребовало бы </w:t>
      </w:r>
      <w:r w:rsidRPr="00796863">
        <w:rPr>
          <w:rStyle w:val="ad"/>
          <w:sz w:val="20"/>
          <w:szCs w:val="20"/>
        </w:rPr>
        <w:t>избыточного субъективного суждения</w:t>
      </w:r>
      <w:r w:rsidRPr="00796863">
        <w:rPr>
          <w:sz w:val="20"/>
          <w:szCs w:val="20"/>
        </w:rPr>
        <w:t xml:space="preserve">, что противоречит принципам объективности и </w:t>
      </w:r>
      <w:proofErr w:type="spellStart"/>
      <w:r w:rsidRPr="00796863">
        <w:rPr>
          <w:sz w:val="20"/>
          <w:szCs w:val="20"/>
        </w:rPr>
        <w:t>воспроизводимости</w:t>
      </w:r>
      <w:proofErr w:type="spellEnd"/>
      <w:r w:rsidRPr="00796863">
        <w:rPr>
          <w:sz w:val="20"/>
          <w:szCs w:val="20"/>
        </w:rPr>
        <w:t xml:space="preserve"> оценки (</w:t>
      </w:r>
      <w:proofErr w:type="gramStart"/>
      <w:r w:rsidRPr="00796863">
        <w:rPr>
          <w:sz w:val="20"/>
          <w:szCs w:val="20"/>
        </w:rPr>
        <w:t>см</w:t>
      </w:r>
      <w:proofErr w:type="gramEnd"/>
      <w:r w:rsidRPr="00796863">
        <w:rPr>
          <w:sz w:val="20"/>
          <w:szCs w:val="20"/>
        </w:rPr>
        <w:t>. IVS 103 "</w:t>
      </w:r>
      <w:proofErr w:type="spellStart"/>
      <w:r w:rsidRPr="00796863">
        <w:rPr>
          <w:sz w:val="20"/>
          <w:szCs w:val="20"/>
        </w:rPr>
        <w:t>Reporting</w:t>
      </w:r>
      <w:proofErr w:type="spellEnd"/>
      <w:r w:rsidRPr="00796863">
        <w:rPr>
          <w:sz w:val="20"/>
          <w:szCs w:val="20"/>
        </w:rPr>
        <w:t>", IVS 105 "</w:t>
      </w:r>
      <w:proofErr w:type="spellStart"/>
      <w:r w:rsidRPr="00796863">
        <w:rPr>
          <w:sz w:val="20"/>
          <w:szCs w:val="20"/>
        </w:rPr>
        <w:t>Valuation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Approaches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and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Methods</w:t>
      </w:r>
      <w:proofErr w:type="spellEnd"/>
      <w:r w:rsidRPr="00796863">
        <w:rPr>
          <w:sz w:val="20"/>
          <w:szCs w:val="20"/>
        </w:rPr>
        <w:t>").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lastRenderedPageBreak/>
        <w:t xml:space="preserve">В международной и национальной практике отказ от сравнительного подхода </w:t>
      </w:r>
      <w:r w:rsidRPr="00796863">
        <w:rPr>
          <w:rStyle w:val="ad"/>
          <w:sz w:val="20"/>
          <w:szCs w:val="20"/>
        </w:rPr>
        <w:t>является допустимым и обоснованным</w:t>
      </w:r>
      <w:r w:rsidRPr="00796863">
        <w:rPr>
          <w:sz w:val="20"/>
          <w:szCs w:val="20"/>
        </w:rPr>
        <w:t xml:space="preserve"> в случае недостаточности или недостоверности рыночной информации. В таких случаях приоритетным может стать </w:t>
      </w:r>
      <w:r w:rsidRPr="00796863">
        <w:rPr>
          <w:rStyle w:val="ad"/>
          <w:sz w:val="20"/>
          <w:szCs w:val="20"/>
        </w:rPr>
        <w:t>затратный</w:t>
      </w:r>
      <w:r w:rsidRPr="00796863">
        <w:rPr>
          <w:sz w:val="20"/>
          <w:szCs w:val="20"/>
        </w:rPr>
        <w:t xml:space="preserve"> или </w:t>
      </w:r>
      <w:r w:rsidRPr="00796863">
        <w:rPr>
          <w:rStyle w:val="ad"/>
          <w:sz w:val="20"/>
          <w:szCs w:val="20"/>
        </w:rPr>
        <w:t>доходный подход</w:t>
      </w:r>
      <w:r w:rsidRPr="00796863">
        <w:rPr>
          <w:sz w:val="20"/>
          <w:szCs w:val="20"/>
        </w:rPr>
        <w:t>, в зависимости от характера объекта, степени завершённости и его способности генерировать доход.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Учитывая вышеизложенное, сравнительный подход не был использован в силу </w:t>
      </w:r>
      <w:r w:rsidRPr="00796863">
        <w:rPr>
          <w:rStyle w:val="ad"/>
          <w:sz w:val="20"/>
          <w:szCs w:val="20"/>
        </w:rPr>
        <w:t>отсутствия проверяемых, достоверных и репрезентативных рыночных данных</w:t>
      </w:r>
      <w:r w:rsidRPr="00796863">
        <w:rPr>
          <w:sz w:val="20"/>
          <w:szCs w:val="20"/>
        </w:rPr>
        <w:t xml:space="preserve">, что делает невозможным его применение без искажения конечной стоимости. Применение других подходов основано на необходимости обеспечить объективность, </w:t>
      </w:r>
      <w:proofErr w:type="spellStart"/>
      <w:r w:rsidRPr="00796863">
        <w:rPr>
          <w:sz w:val="20"/>
          <w:szCs w:val="20"/>
        </w:rPr>
        <w:t>воспроизводимость</w:t>
      </w:r>
      <w:proofErr w:type="spellEnd"/>
      <w:r w:rsidRPr="00796863">
        <w:rPr>
          <w:sz w:val="20"/>
          <w:szCs w:val="20"/>
        </w:rPr>
        <w:t xml:space="preserve"> и соответствие ЕНСО.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lastRenderedPageBreak/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{{ </w:t>
      </w:r>
      <w:proofErr w:type="spellStart"/>
      <w:r w:rsidRPr="00A71C4B">
        <w:rPr>
          <w:b/>
          <w:lang w:val="en-US"/>
        </w:rPr>
        <w:t>koeff</w:t>
      </w:r>
      <w:proofErr w:type="spellEnd"/>
      <w:r w:rsidRPr="00A71C4B">
        <w:rPr>
          <w:b/>
        </w:rPr>
        <w:t>_</w:t>
      </w:r>
      <w:r w:rsidRPr="00A71C4B">
        <w:rPr>
          <w:b/>
          <w:lang w:val="en-US"/>
        </w:rPr>
        <w:t>table</w:t>
      </w:r>
      <w:proofErr w:type="gramStart"/>
      <w:r w:rsidRPr="00052B7A">
        <w:rPr>
          <w:b/>
        </w:rPr>
        <w:t xml:space="preserve"> }</w:t>
      </w:r>
      <w:proofErr w:type="gramEnd"/>
      <w:r w:rsidRPr="00052B7A">
        <w:rPr>
          <w:b/>
        </w:rPr>
        <w:t>}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 использовании значения ставки ЦБ на дату оценки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</w:t>
      </w:r>
      <w:proofErr w:type="spellStart"/>
      <w:r w:rsidRPr="007B73E7">
        <w:rPr>
          <w:b/>
          <w:bCs/>
          <w:sz w:val="20"/>
          <w:szCs w:val="20"/>
          <w:lang w:eastAsia="ru-RU"/>
        </w:rPr>
        <w:t>profit</w:t>
      </w:r>
      <w:proofErr w:type="spellEnd"/>
      <w:r w:rsidRPr="007B73E7">
        <w:rPr>
          <w:b/>
          <w:bCs/>
          <w:sz w:val="20"/>
          <w:szCs w:val="20"/>
          <w:lang w:eastAsia="ru-RU"/>
        </w:rPr>
        <w:t xml:space="preserve">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lastRenderedPageBreak/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{{ </w:t>
      </w:r>
      <w:r>
        <w:rPr>
          <w:rFonts w:ascii="Cambria" w:hAnsi="Cambria"/>
          <w:b/>
          <w:sz w:val="20"/>
          <w:lang w:val="en-US"/>
        </w:rPr>
        <w:t>liter</w:t>
      </w:r>
      <w:r w:rsidRPr="00047F90">
        <w:rPr>
          <w:rFonts w:ascii="Cambria" w:hAnsi="Cambria"/>
          <w:b/>
          <w:sz w:val="20"/>
        </w:rPr>
        <w:t>_</w:t>
      </w:r>
      <w:r>
        <w:rPr>
          <w:rFonts w:ascii="Cambria" w:hAnsi="Cambria"/>
          <w:b/>
          <w:sz w:val="20"/>
          <w:lang w:val="en-US"/>
        </w:rPr>
        <w:t>tables</w:t>
      </w:r>
      <w:proofErr w:type="gramStart"/>
      <w:r w:rsidRPr="00047F90">
        <w:rPr>
          <w:rFonts w:ascii="Cambria" w:hAnsi="Cambria"/>
          <w:b/>
          <w:sz w:val="20"/>
        </w:rPr>
        <w:t xml:space="preserve"> }</w:t>
      </w:r>
      <w:proofErr w:type="gramEnd"/>
      <w:r w:rsidRPr="00047F90">
        <w:rPr>
          <w:rFonts w:ascii="Cambria" w:hAnsi="Cambria"/>
          <w:b/>
          <w:sz w:val="20"/>
        </w:rPr>
        <w:t>}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</w:t>
      </w:r>
      <w:r w:rsidR="00367A66">
        <w:rPr>
          <w:b/>
          <w:color w:val="0000FF"/>
          <w:sz w:val="24"/>
          <w:u w:val="single" w:color="0000FF"/>
          <w:lang w:val="en-US"/>
        </w:rPr>
        <w:t>agreement</w:t>
      </w:r>
      <w:r w:rsidR="00367A66" w:rsidRPr="00B66391">
        <w:rPr>
          <w:b/>
          <w:color w:val="0000FF"/>
          <w:sz w:val="24"/>
          <w:u w:val="single" w:color="0000FF"/>
        </w:rPr>
        <w:t>.</w:t>
      </w:r>
      <w:r>
        <w:rPr>
          <w:b/>
          <w:color w:val="0000FF"/>
          <w:sz w:val="24"/>
          <w:u w:val="single" w:color="0000FF"/>
          <w:lang w:val="en-US"/>
        </w:rPr>
        <w:t>building</w:t>
      </w:r>
      <w:r w:rsidRPr="00367A66">
        <w:rPr>
          <w:b/>
          <w:color w:val="0000FF"/>
          <w:sz w:val="24"/>
          <w:u w:val="single" w:color="0000FF"/>
        </w:rPr>
        <w:t>_</w:t>
      </w:r>
      <w:r>
        <w:rPr>
          <w:b/>
          <w:color w:val="0000FF"/>
          <w:sz w:val="24"/>
          <w:u w:val="single" w:color="0000FF"/>
          <w:lang w:val="en-US"/>
        </w:rPr>
        <w:t>cost</w:t>
      </w:r>
      <w:proofErr w:type="gramStart"/>
      <w:r w:rsidRPr="00367A66">
        <w:rPr>
          <w:b/>
          <w:color w:val="0000FF"/>
          <w:sz w:val="24"/>
          <w:u w:val="single" w:color="0000FF"/>
        </w:rPr>
        <w:t xml:space="preserve"> }</w:t>
      </w:r>
      <w:proofErr w:type="gramEnd"/>
      <w:r w:rsidRPr="00367A66">
        <w:rPr>
          <w:b/>
          <w:color w:val="0000FF"/>
          <w:sz w:val="24"/>
          <w:u w:val="single" w:color="0000FF"/>
        </w:rPr>
        <w:t>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Оцениваемый земельный участок площадью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9D1BA6">
        <w:rPr>
          <w:sz w:val="20"/>
          <w:szCs w:val="20"/>
          <w:lang w:eastAsia="ru-RU"/>
        </w:rPr>
        <w:t>land_area</w:t>
      </w:r>
      <w:proofErr w:type="spellEnd"/>
      <w:r w:rsidRPr="009D1BA6">
        <w:rPr>
          <w:sz w:val="20"/>
          <w:szCs w:val="20"/>
          <w:lang w:eastAsia="ru-RU"/>
        </w:rPr>
        <w:t xml:space="preserve">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lastRenderedPageBreak/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рамках настоящей оценки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gramEnd"/>
      <w:r>
        <w:rPr>
          <w:sz w:val="20"/>
          <w:szCs w:val="20"/>
          <w:lang w:val="en-US" w:eastAsia="ru-RU"/>
        </w:rPr>
        <w:t>analogs</w:t>
      </w:r>
      <w:r w:rsidRPr="009D1BA6">
        <w:rPr>
          <w:sz w:val="20"/>
          <w:szCs w:val="20"/>
          <w:lang w:eastAsia="ru-RU"/>
        </w:rPr>
        <w:t>_</w:t>
      </w:r>
      <w:r>
        <w:rPr>
          <w:sz w:val="20"/>
          <w:szCs w:val="20"/>
          <w:lang w:val="en-US" w:eastAsia="ru-RU"/>
        </w:rPr>
        <w:t>count</w:t>
      </w:r>
      <w:r w:rsidRPr="009D1BA6">
        <w:rPr>
          <w:sz w:val="20"/>
          <w:szCs w:val="20"/>
          <w:lang w:eastAsia="ru-RU"/>
        </w:rPr>
        <w:t xml:space="preserve"> }}, расположенных на территории </w:t>
      </w:r>
      <w:r>
        <w:rPr>
          <w:sz w:val="20"/>
          <w:szCs w:val="20"/>
          <w:lang w:eastAsia="ru-RU"/>
        </w:rPr>
        <w:t>расположения объекта оценки (</w:t>
      </w:r>
      <w:r w:rsidRPr="009D1BA6">
        <w:rPr>
          <w:sz w:val="20"/>
          <w:szCs w:val="20"/>
          <w:lang w:eastAsia="ru-RU"/>
        </w:rPr>
        <w:t xml:space="preserve">{{ </w:t>
      </w:r>
      <w:proofErr w:type="spellStart"/>
      <w:r w:rsidRPr="009D1BA6">
        <w:rPr>
          <w:sz w:val="20"/>
          <w:szCs w:val="20"/>
          <w:lang w:eastAsia="ru-RU"/>
        </w:rPr>
        <w:t>administrative.oblast</w:t>
      </w:r>
      <w:proofErr w:type="spellEnd"/>
      <w:r w:rsidRPr="009D1BA6">
        <w:rPr>
          <w:color w:val="0000FF"/>
        </w:rPr>
        <w:t xml:space="preserve">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>{{ LAND_TABLE</w:t>
      </w:r>
      <w:proofErr w:type="gramStart"/>
      <w:r>
        <w:t xml:space="preserve"> }</w:t>
      </w:r>
      <w:proofErr w:type="gramEnd"/>
      <w:r>
        <w:t>}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</w:t>
      </w:r>
      <w:r w:rsidRPr="00C86392">
        <w:rPr>
          <w:color w:val="0000FF"/>
          <w:u w:val="single" w:color="0000FF"/>
          <w:lang w:val="en-US"/>
        </w:rPr>
        <w:t>agreement</w:t>
      </w:r>
      <w:r w:rsidRPr="00367A66">
        <w:rPr>
          <w:color w:val="0000FF"/>
          <w:u w:val="single" w:color="0000FF"/>
        </w:rPr>
        <w:t>.</w:t>
      </w:r>
      <w:r>
        <w:rPr>
          <w:color w:val="0000FF"/>
          <w:u w:val="single" w:color="0000FF"/>
          <w:lang w:val="en-US"/>
        </w:rPr>
        <w:t>land</w:t>
      </w:r>
      <w:r w:rsidRPr="00367A66">
        <w:rPr>
          <w:color w:val="0000FF"/>
          <w:u w:val="single" w:color="0000FF"/>
        </w:rPr>
        <w:t>_</w:t>
      </w:r>
      <w:r>
        <w:rPr>
          <w:color w:val="0000FF"/>
          <w:u w:val="single" w:color="0000FF"/>
          <w:lang w:val="en-US"/>
        </w:rPr>
        <w:t>cost</w:t>
      </w:r>
      <w:proofErr w:type="gramStart"/>
      <w:r w:rsidRPr="00367A66">
        <w:rPr>
          <w:color w:val="0000FF"/>
          <w:u w:val="single" w:color="0000FF"/>
        </w:rPr>
        <w:t xml:space="preserve"> }</w:t>
      </w:r>
      <w:proofErr w:type="gramEnd"/>
      <w:r w:rsidRPr="00367A66">
        <w:rPr>
          <w:color w:val="0000FF"/>
          <w:u w:val="single" w:color="0000FF"/>
        </w:rPr>
        <w:t>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>{</w:t>
      </w:r>
      <w:proofErr w:type="gramStart"/>
      <w:r w:rsidRPr="00367A66">
        <w:rPr>
          <w:color w:val="0000FF"/>
          <w:u w:val="single" w:color="0000FF"/>
          <w:lang w:val="en-US"/>
        </w:rPr>
        <w:t xml:space="preserve">{ </w:t>
      </w:r>
      <w:proofErr w:type="spellStart"/>
      <w:r w:rsidRPr="00367A66">
        <w:rPr>
          <w:color w:val="0000FF"/>
          <w:u w:val="single" w:color="0000FF"/>
          <w:lang w:val="en-US"/>
        </w:rPr>
        <w:t>agreement.building</w:t>
      </w:r>
      <w:proofErr w:type="gramEnd"/>
      <w:r w:rsidRPr="00367A66">
        <w:rPr>
          <w:color w:val="0000FF"/>
          <w:u w:val="single" w:color="0000FF"/>
          <w:lang w:val="en-US"/>
        </w:rPr>
        <w:t>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agreement.land_cost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agreement.total_cost_value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</w:t>
      </w:r>
      <w:r w:rsidRPr="00DF0891">
        <w:rPr>
          <w:sz w:val="20"/>
          <w:szCs w:val="20"/>
          <w:lang w:eastAsia="ru-RU"/>
        </w:rPr>
        <w:lastRenderedPageBreak/>
        <w:t xml:space="preserve">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</w:t>
      </w:r>
      <w:proofErr w:type="spellStart"/>
      <w:r w:rsidRPr="007B5ACA">
        <w:t>agreement_method_summary</w:t>
      </w:r>
      <w:proofErr w:type="spellEnd"/>
      <w:proofErr w:type="gramStart"/>
      <w:r w:rsidRPr="007B5ACA">
        <w:t xml:space="preserve"> }</w:t>
      </w:r>
      <w:proofErr w:type="gramEnd"/>
      <w:r w:rsidRPr="007B5ACA">
        <w:t>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{{ 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agreement</w:t>
      </w: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_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table</w:t>
      </w:r>
      <w:proofErr w:type="gramStart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}</w:t>
      </w:r>
      <w:proofErr w:type="gramEnd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}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>{</w:t>
      </w:r>
      <w:proofErr w:type="gramStart"/>
      <w:r w:rsidR="0058535B" w:rsidRPr="00A71C4B">
        <w:rPr>
          <w:color w:val="0000FF"/>
        </w:rPr>
        <w:t xml:space="preserve">{ </w:t>
      </w:r>
      <w:proofErr w:type="gramEnd"/>
      <w:r w:rsidR="0058535B">
        <w:rPr>
          <w:color w:val="0000FF"/>
          <w:lang w:val="en-US"/>
        </w:rPr>
        <w:t>total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</w:t>
      </w:r>
      <w:r w:rsidR="0058535B">
        <w:rPr>
          <w:color w:val="0000FF"/>
          <w:lang w:val="en-US"/>
        </w:rPr>
        <w:t>living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</w:t>
      </w:r>
      <w:r w:rsidR="002B2935" w:rsidRPr="004F22D2">
        <w:rPr>
          <w:color w:val="0000FF"/>
          <w:lang w:val="en-US"/>
        </w:rPr>
        <w:t>land</w:t>
      </w:r>
      <w:r w:rsidR="002B2935" w:rsidRPr="00A71C4B">
        <w:rPr>
          <w:color w:val="0000FF"/>
        </w:rPr>
        <w:t>_</w:t>
      </w:r>
      <w:r w:rsidR="002B2935" w:rsidRPr="004F22D2">
        <w:rPr>
          <w:color w:val="0000FF"/>
          <w:lang w:val="en-US"/>
        </w:rPr>
        <w:t>area</w:t>
      </w:r>
      <w:r w:rsidR="002B2935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>{{</w:t>
      </w:r>
      <w:r w:rsidR="0044684A" w:rsidRPr="00A71C4B">
        <w:rPr>
          <w:color w:val="0000FF"/>
        </w:rPr>
        <w:t xml:space="preserve">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oblast</w:t>
      </w:r>
      <w:r w:rsidR="003A10B2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rayon</w:t>
      </w:r>
      <w:r w:rsidR="0044684A" w:rsidRPr="00A71C4B">
        <w:rPr>
          <w:color w:val="0000FF"/>
        </w:rPr>
        <w:t xml:space="preserve"> </w:t>
      </w:r>
      <w:r w:rsidR="003A10B2" w:rsidRPr="00A71C4B">
        <w:rPr>
          <w:color w:val="0000FF"/>
        </w:rPr>
        <w:t>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</w:t>
      </w:r>
      <w:r w:rsidR="0044684A" w:rsidRPr="004F22D2">
        <w:rPr>
          <w:color w:val="0000FF"/>
          <w:lang w:val="en-US"/>
        </w:rPr>
        <w:t>address</w:t>
      </w:r>
      <w:r w:rsidR="0044684A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owner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name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inspection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date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>(</w:t>
      </w:r>
      <w:r w:rsidR="006B04FF">
        <w:rPr>
          <w:color w:val="0000FF"/>
          <w:lang w:val="en-US"/>
        </w:rPr>
        <w:t xml:space="preserve">{{ </w:t>
      </w:r>
      <w:proofErr w:type="spellStart"/>
      <w:r w:rsidR="006B04FF">
        <w:rPr>
          <w:color w:val="0000FF"/>
          <w:lang w:val="en-US"/>
        </w:rPr>
        <w:t>valuation_purpose</w:t>
      </w:r>
      <w:proofErr w:type="spellEnd"/>
      <w:r w:rsidR="006B04FF">
        <w:rPr>
          <w:color w:val="0000FF"/>
          <w:lang w:val="en-US"/>
        </w:rPr>
        <w:t xml:space="preserve">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>{</w:t>
      </w:r>
      <w:proofErr w:type="gramStart"/>
      <w:r w:rsidRPr="004F22D2">
        <w:rPr>
          <w:color w:val="0000FF"/>
          <w:u w:val="none"/>
          <w:lang w:val="en-US"/>
        </w:rPr>
        <w:t xml:space="preserve">{ </w:t>
      </w:r>
      <w:proofErr w:type="spellStart"/>
      <w:r w:rsidR="00931FAF" w:rsidRPr="004F22D2">
        <w:rPr>
          <w:color w:val="0000FF"/>
          <w:u w:val="none"/>
          <w:lang w:val="en-US"/>
        </w:rPr>
        <w:t>agreement.edited</w:t>
      </w:r>
      <w:proofErr w:type="gramEnd"/>
      <w:r w:rsidR="00931FAF" w:rsidRPr="004F22D2">
        <w:rPr>
          <w:color w:val="0000FF"/>
          <w:u w:val="none"/>
          <w:lang w:val="en-US"/>
        </w:rPr>
        <w:t>_final_cost</w:t>
      </w:r>
      <w:proofErr w:type="spellEnd"/>
      <w:r w:rsidRPr="004F22D2">
        <w:rPr>
          <w:color w:val="0000FF"/>
          <w:u w:val="none"/>
          <w:lang w:val="en-US"/>
        </w:rPr>
        <w:t xml:space="preserve">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({</w:t>
      </w:r>
      <w:proofErr w:type="gramStart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{ </w:t>
      </w:r>
      <w:proofErr w:type="spellStart"/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.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proofErr w:type="gram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spell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>{</w:t>
      </w:r>
      <w:proofErr w:type="gramStart"/>
      <w:r w:rsidR="001C0982" w:rsidRPr="00EE7CBE">
        <w:rPr>
          <w:b/>
          <w:sz w:val="20"/>
        </w:rPr>
        <w:t xml:space="preserve">{ </w:t>
      </w:r>
      <w:proofErr w:type="gramEnd"/>
      <w:r w:rsidR="001C0982">
        <w:rPr>
          <w:b/>
          <w:sz w:val="20"/>
          <w:lang w:val="en-US"/>
        </w:rPr>
        <w:t>appraiser</w:t>
      </w:r>
      <w:r w:rsidR="001C0982" w:rsidRPr="00EE7CBE">
        <w:rPr>
          <w:b/>
          <w:sz w:val="20"/>
        </w:rPr>
        <w:t>_</w:t>
      </w:r>
      <w:proofErr w:type="spellStart"/>
      <w:r w:rsidR="001C0982">
        <w:rPr>
          <w:b/>
          <w:sz w:val="20"/>
          <w:lang w:val="en-US"/>
        </w:rPr>
        <w:t>cutted</w:t>
      </w:r>
      <w:proofErr w:type="spellEnd"/>
      <w:r w:rsidR="001C0982" w:rsidRPr="00EE7CBE">
        <w:rPr>
          <w:b/>
          <w:sz w:val="20"/>
        </w:rPr>
        <w:t>_</w:t>
      </w:r>
      <w:r w:rsidR="001C0982">
        <w:rPr>
          <w:b/>
          <w:sz w:val="20"/>
          <w:lang w:val="en-US"/>
        </w:rPr>
        <w:t>name</w:t>
      </w:r>
      <w:r w:rsidR="001C0982" w:rsidRPr="00EE7CBE">
        <w:rPr>
          <w:b/>
          <w:sz w:val="20"/>
        </w:rPr>
        <w:t xml:space="preserve"> }}</w:t>
      </w:r>
    </w:p>
    <w:p w:rsidR="0043249B" w:rsidRDefault="0043249B">
      <w:pPr>
        <w:rPr>
          <w:b/>
          <w:i/>
          <w:sz w:val="28"/>
        </w:rPr>
        <w:sectPr w:rsidR="0043249B" w:rsidSect="00796863">
          <w:type w:val="continuous"/>
          <w:pgSz w:w="11910" w:h="16840"/>
          <w:pgMar w:top="1000" w:right="428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C1D" w:rsidRDefault="00FE2C1D" w:rsidP="0043249B">
      <w:r>
        <w:separator/>
      </w:r>
    </w:p>
  </w:endnote>
  <w:endnote w:type="continuationSeparator" w:id="0">
    <w:p w:rsidR="00FE2C1D" w:rsidRDefault="00FE2C1D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832DF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>{</w:t>
                </w:r>
                <w:proofErr w:type="gramStart"/>
                <w:r>
                  <w:rPr>
                    <w:lang w:val="en-US"/>
                  </w:rPr>
                  <w:t xml:space="preserve">{ </w:t>
                </w:r>
                <w:proofErr w:type="spellStart"/>
                <w:proofErr w:type="gramEnd"/>
                <w:r>
                  <w:rPr>
                    <w:lang w:val="en-US"/>
                  </w:rPr>
                  <w:t>appraiser_cutted_name</w:t>
                </w:r>
                <w:proofErr w:type="spellEnd"/>
                <w:r>
                  <w:rPr>
                    <w:lang w:val="en-US"/>
                  </w:rPr>
                  <w:t xml:space="preserve"> }}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832DF0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796863">
                  <w:rPr>
                    <w:noProof/>
                    <w:spacing w:val="-5"/>
                  </w:rPr>
                  <w:t>14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C1D" w:rsidRDefault="00FE2C1D" w:rsidP="0043249B">
      <w:r>
        <w:separator/>
      </w:r>
    </w:p>
  </w:footnote>
  <w:footnote w:type="continuationSeparator" w:id="0">
    <w:p w:rsidR="00FE2C1D" w:rsidRDefault="00FE2C1D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832DF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{{ </w:t>
                </w:r>
                <w:proofErr w:type="spellStart"/>
                <w:r w:rsidRPr="00C63239"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company_name</w:t>
                </w:r>
                <w:proofErr w:type="spellEnd"/>
                <w:proofErr w:type="gramStart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 }</w:t>
                </w:r>
                <w:proofErr w:type="gramEnd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B09B3"/>
    <w:multiLevelType w:val="multilevel"/>
    <w:tmpl w:val="B64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4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9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1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7"/>
  </w:num>
  <w:num w:numId="26">
    <w:abstractNumId w:val="0"/>
  </w:num>
  <w:num w:numId="27">
    <w:abstractNumId w:val="10"/>
  </w:num>
  <w:num w:numId="28">
    <w:abstractNumId w:val="14"/>
  </w:num>
  <w:num w:numId="29">
    <w:abstractNumId w:val="25"/>
  </w:num>
  <w:num w:numId="30">
    <w:abstractNumId w:val="22"/>
  </w:num>
  <w:num w:numId="31">
    <w:abstractNumId w:val="15"/>
  </w:num>
  <w:num w:numId="32">
    <w:abstractNumId w:val="31"/>
  </w:num>
  <w:num w:numId="33">
    <w:abstractNumId w:val="28"/>
  </w:num>
  <w:num w:numId="34">
    <w:abstractNumId w:val="27"/>
  </w:num>
  <w:num w:numId="35">
    <w:abstractNumId w:val="16"/>
  </w:num>
  <w:num w:numId="36">
    <w:abstractNumId w:val="1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96863"/>
    <w:rsid w:val="007A2A56"/>
    <w:rsid w:val="007B5ACA"/>
    <w:rsid w:val="007B73E7"/>
    <w:rsid w:val="007F62EB"/>
    <w:rsid w:val="00805AAD"/>
    <w:rsid w:val="00810D01"/>
    <w:rsid w:val="00832DF0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1D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4F0E2-2077-4EB2-AF8F-FB060D59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6081</Words>
  <Characters>34665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