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 xml:space="preserve">{{ valuator_company_name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 xml:space="preserve">{{ company_logo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 №{{ license_number }}, выданный Ассоциацией оценочных организаций Республики Узбекистан {{ license_date }} года, предоставляющий право на осуществление оценочной деятельности</w:t>
      </w:r>
      <w:r>
        <w:t>.</w:t>
      </w:r>
    </w:p>
    <w:p w:rsidR="0043249B" w:rsidRPr="00E35E57" w:rsidRDefault="007706C9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 xml:space="preserve"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valuator_company_name }}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 xml:space="preserve"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valuator_company_name }}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№{{ 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 xml:space="preserve">{{ reg_number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052B7A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 xml:space="preserve"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administrative.oblast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 xml:space="preserve"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administrative.rayon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 xml:space="preserve"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price_type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valuation_purpose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 xml:space="preserve"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buyer_name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 xml:space="preserve"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owner_name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 xml:space="preserve">{{ valuator_company_name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 xml:space="preserve">{{ company_logo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license_number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license_date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7706C9">
      <w:pPr>
        <w:pStyle w:val="a3"/>
        <w:ind w:left="0"/>
        <w:jc w:val="left"/>
        <w:rPr>
          <w:b/>
          <w:sz w:val="16"/>
        </w:rPr>
      </w:pPr>
      <w:r w:rsidRPr="007706C9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 xml:space="preserve">{{ reg_number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 xml:space="preserve"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contract_date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договором</w:t>
      </w:r>
      <w:r w:rsidRPr="006A5BBA">
        <w:rPr>
          <w:sz w:val="20"/>
          <w:szCs w:val="20"/>
          <w:lang w:val="en-US" w:eastAsia="ru-RU"/>
        </w:rPr>
        <w:t xml:space="preserve"> №  </w:t>
      </w:r>
      <w:r w:rsidRPr="00A1382E">
        <w:rPr>
          <w:sz w:val="20"/>
          <w:szCs w:val="20"/>
          <w:lang w:eastAsia="ru-RU"/>
        </w:rPr>
        <w:t xml:space="preserve">от</w:t>
      </w:r>
      <w:r w:rsidRPr="006A5BBA">
        <w:rPr>
          <w:sz w:val="20"/>
          <w:szCs w:val="20"/>
          <w:lang w:val="en-US" w:eastAsia="ru-RU"/>
        </w:rPr>
        <w:t xml:space="preserve"> {{ contract_date }}, {{ valuator_company_name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{{ total_area }} м², включая жилую площадь — {{ living_area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land_area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адресу</w:t>
      </w:r>
      <w:r w:rsidRPr="006A5BBA">
        <w:rPr>
          <w:sz w:val="20"/>
          <w:szCs w:val="20"/>
          <w:lang w:val="en-US" w:eastAsia="ru-RU"/>
        </w:rPr>
        <w:t xml:space="preserve">: {{ administrative.oblast }}, {{ administrative.rayon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объекта</w:t>
      </w:r>
      <w:r w:rsidRPr="0044684A">
        <w:rPr>
          <w:sz w:val="20"/>
          <w:szCs w:val="20"/>
          <w:lang w:val="en-US" w:eastAsia="ru-RU"/>
        </w:rPr>
        <w:t xml:space="preserve"> — {{ owner_name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 xml:space="preserve">оценки</w:t>
      </w:r>
      <w:r w:rsidRPr="0044684A">
        <w:rPr>
          <w:sz w:val="20"/>
          <w:szCs w:val="20"/>
          <w:lang w:val="en-US" w:eastAsia="ru-RU"/>
        </w:rPr>
        <w:t xml:space="preserve"> — {{ valuation_purpose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Осмотр объекта и оценочные процедуры проведены по состоянию на {{ inspection_date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Рыночная стоимость объекта оценки по состоянию на {{ contract_date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{{ agreement.edited_final_cost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 xml:space="preserve"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agreement.amount_in_words }}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 xml:space="preserve">{{ valuator_company_name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 xml:space="preserve">2. 1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 xml:space="preserve">, расположенного по адресу: {{ administrative.oblast }}, {{ administrative.rayon }}, {{ address }}, на земельном участке площадью {{ land_area }} м². Собственник объекта — {{ owner_name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Недвижимое имущество: индивидуальный жилой дом общей площадью {{ total_area }} м², на земельном участке площадью {{ land_area }} м²</w:t>
            </w:r>
          </w:p>
        </w:tc>
      </w:tr>
      <w:tr w:rsidR="00305909" w:rsidRPr="00052B7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 xml:space="preserve">{{ administrative.oblast }}, {{ administrative.rayon }}, </w:t>
            </w:r>
            <w:r w:rsidR="0044684A">
              <w:rPr>
                <w:sz w:val="24"/>
                <w:szCs w:val="24"/>
                <w:lang w:val="en-US" w:eastAsia="ru-RU"/>
              </w:rPr>
              <w:t xml:space="preserve"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</w:tr>
      <w:tr w:rsidR="00305909" w:rsidRPr="00052B7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valuation_purpose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inspection_date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1 USD = {{ exchange_rate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1 2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№3, выдан 4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 xml:space="preserve">{{ buyer_passport_series }} {{ buyer_passport_number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valuator_company_name }}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 xml:space="preserve"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bank_account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valuator_inn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МФО: {{ mfo }}</w:t>
            </w:r>
          </w:p>
        </w:tc>
      </w:tr>
      <w:tr w:rsidR="00305909" w:rsidRPr="00052B7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insurance_name }}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 xml:space="preserve"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№{{ insurance_number }}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insurance_date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agreement.total_cost_value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agreement.building_cost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agreement.land_cost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052B7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agreement.comparative_final_cost_value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 xml:space="preserve">{{ agreement.edited_final_cost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 xml:space="preserve">( {{ agreement.amount_in_words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определена стоимость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owner_name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valuation_purpose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price_type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 xml:space="preserve"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{{ owner_name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 xml:space="preserve">{{ land_area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 xml:space="preserve">{{ administrative.oblast }}, {{ administrative.rayon }}, </w:t>
            </w:r>
            <w:r>
              <w:rPr>
                <w:sz w:val="20"/>
                <w:szCs w:val="20"/>
                <w:lang w:val="en-US" w:eastAsia="ru-RU"/>
              </w:rPr>
              <w:t xml:space="preserve"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cadastral_number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 xml:space="preserve"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liters_block }}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 xml:space="preserve"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regional_market_analysis | safe }}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 xml:space="preserve">{{ TABLE_KADASTR }}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 xml:space="preserve">{{ land_area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 xml:space="preserve">{{ total_area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 xml:space="preserve"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engineering_description }}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 xml:space="preserve">{{ owner_name 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useful_area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living_area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 xml:space="preserve"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cadastral_number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 соответствии с целями оценки, характеристиками объекта и сложившейся практикой, при определении рыночной стоимости применялись два основных подхода — </w:t>
      </w:r>
      <w:r w:rsidRPr="008C001E">
        <w:rPr>
          <w:rStyle w:val="ad"/>
          <w:sz w:val="20"/>
          <w:szCs w:val="20"/>
        </w:rPr>
        <w:t>затратный</w:t>
      </w:r>
      <w:r w:rsidRPr="008C001E">
        <w:rPr>
          <w:sz w:val="20"/>
          <w:szCs w:val="20"/>
        </w:rPr>
        <w:t xml:space="preserve"> и </w:t>
      </w:r>
      <w:r w:rsidRPr="008C001E">
        <w:rPr>
          <w:rStyle w:val="ad"/>
          <w:sz w:val="20"/>
          <w:szCs w:val="20"/>
        </w:rPr>
        <w:t>сравнительный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Затратный подход основан на расчёте восстановительной или замещающей стоимости объекта с последующим вычетом износа и добавлением стоимости прав пользования земельным участком. Он особенно актуален для жилых домов, поскольку позволяет объективно учесть стоимость строительства с аналогичными характеристиками в текущих условиях.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Оценка проводилась на основе укрупнённых нормативов, применяемых в Узбекистане, с корректировками на конструктивные особенности, износ и региональные коэффициенты. Данный подход надёжен при наличии достоверной информации о стоимости строительных работ, техническом состоянии объекта и нормативных данных. Его использование оправдано также тем, что рынок жилой недвижимости в республике характеризуется устойчивым спросом и предсказуемыми затратами на воспроизводство.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Сравнительный подход базируется на анализе рыночных сделок с аналогичными объектами. Сопоставимые предложения и завершённые сделки изучаются с учётом параметров, влияющих на стоимость (местоположение, площадь, состояние, дата сделки и т. д.). После применения корректировок определяется рыночная стоимость оцениваемого объекта как средневзвешенное значение.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Применение данного подхода целесообразно в условиях наличия активного рынка индивидуального жилья, что характерно для большинства регионов Узбекистана. Оценка производилась на основе данных из открытых источников, с учётом рыночной информации и профессионального суждения оценщика.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lastRenderedPageBreak/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3"/>
        <w:spacing w:before="1"/>
      </w:pPr>
      <w:r>
        <w:t>Затратный</w:t>
      </w:r>
      <w:r>
        <w:rPr>
          <w:spacing w:val="-9"/>
        </w:rPr>
        <w:t xml:space="preserve"> </w:t>
      </w:r>
      <w:r>
        <w:rPr>
          <w:spacing w:val="-2"/>
        </w:rPr>
        <w:t>подход.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Данный подход реализуется в следующей последовательности: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Определение укрупнённой восстановительной стоимости зданий и сооружений на основе данных </w:t>
      </w:r>
      <w:r w:rsidRPr="008C001E">
        <w:rPr>
          <w:i/>
          <w:iCs/>
          <w:sz w:val="20"/>
          <w:szCs w:val="20"/>
          <w:lang w:eastAsia="ru-RU"/>
        </w:rPr>
        <w:t>Сборника №2 укрупнённых показателей восстановительной стоимости строений индивидуальной постройки</w:t>
      </w:r>
      <w:r w:rsidRPr="008C001E">
        <w:rPr>
          <w:sz w:val="20"/>
          <w:szCs w:val="20"/>
          <w:lang w:eastAsia="ru-RU"/>
        </w:rPr>
        <w:t xml:space="preserve"> (2002);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Корректировка восстановительной стоимости с применением региональных, планировочных, конструктивных и иных коэффициентов;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величины предпринимательской прибыли;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величины физического износа согласно методике КМК 2.01.16-97;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стоимости прав пользования земельным участком;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итоговой стоимости объекта оценки: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proofErr w:type="spellStart"/>
      <w:r w:rsidRPr="008C001E">
        <w:rPr>
          <w:b/>
          <w:sz w:val="32"/>
          <w:szCs w:val="32"/>
          <w:lang w:eastAsia="ru-RU"/>
        </w:rPr>
        <w:t>C</w:t>
      </w:r>
      <w:r w:rsidRPr="008C001E">
        <w:rPr>
          <w:b/>
          <w:sz w:val="24"/>
          <w:szCs w:val="24"/>
          <w:lang w:eastAsia="ru-RU"/>
        </w:rPr>
        <w:t>н</w:t>
      </w:r>
      <w:r w:rsidRPr="008C001E">
        <w:rPr>
          <w:b/>
          <w:sz w:val="32"/>
          <w:szCs w:val="32"/>
          <w:lang w:eastAsia="ru-RU"/>
        </w:rPr>
        <w:t>=</w:t>
      </w:r>
      <w:proofErr w:type="spellEnd"/>
      <w:r w:rsidRPr="008C001E">
        <w:rPr>
          <w:b/>
          <w:sz w:val="32"/>
          <w:szCs w:val="32"/>
          <w:lang w:eastAsia="ru-RU"/>
        </w:rPr>
        <w:t>(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восст</w:t>
      </w:r>
      <w:proofErr w:type="spellEnd"/>
      <w:r w:rsidRPr="008C001E">
        <w:rPr>
          <w:b/>
          <w:sz w:val="32"/>
          <w:szCs w:val="32"/>
          <w:lang w:eastAsia="ru-RU"/>
        </w:rPr>
        <w:t>×(1</w:t>
      </w:r>
      <w:proofErr w:type="gramStart"/>
      <w:r w:rsidRPr="008C001E">
        <w:rPr>
          <w:b/>
          <w:sz w:val="32"/>
          <w:szCs w:val="32"/>
          <w:lang w:eastAsia="ru-RU"/>
        </w:rPr>
        <w:t>−И</w:t>
      </w:r>
      <w:proofErr w:type="gramEnd"/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100)+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з</w:t>
      </w:r>
      <w:proofErr w:type="spellEnd"/>
      <w:r w:rsidRPr="008C001E">
        <w:rPr>
          <w:b/>
          <w:sz w:val="32"/>
          <w:szCs w:val="32"/>
          <w:lang w:eastAsia="ru-RU"/>
        </w:rPr>
        <w:t>)×(1+ПП</w:t>
      </w:r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 где: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proofErr w:type="gramStart"/>
      <w:r w:rsidRPr="008C001E">
        <w:rPr>
          <w:b/>
          <w:bCs/>
          <w:sz w:val="20"/>
          <w:szCs w:val="20"/>
          <w:lang w:eastAsia="ru-RU"/>
        </w:rPr>
        <w:t>C</w:t>
      </w:r>
      <w:proofErr w:type="gramEnd"/>
      <w:r w:rsidRPr="008C001E">
        <w:rPr>
          <w:b/>
          <w:bCs/>
          <w:sz w:val="20"/>
          <w:szCs w:val="20"/>
          <w:lang w:eastAsia="ru-RU"/>
        </w:rPr>
        <w:t>н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объекта недвижимости,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Свосст</w:t>
      </w:r>
      <w:proofErr w:type="spellEnd"/>
      <w:r w:rsidRPr="008C001E">
        <w:rPr>
          <w:sz w:val="20"/>
          <w:szCs w:val="20"/>
          <w:lang w:eastAsia="ru-RU"/>
        </w:rPr>
        <w:t xml:space="preserve"> — восстановительная стоимость по укрупнённым показателям,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И</w:t>
      </w:r>
      <w:r w:rsidRPr="008C001E">
        <w:rPr>
          <w:sz w:val="20"/>
          <w:szCs w:val="20"/>
          <w:lang w:eastAsia="ru-RU"/>
        </w:rPr>
        <w:t xml:space="preserve"> — физический износ</w:t>
      </w:r>
      <w:proofErr w:type="gramStart"/>
      <w:r w:rsidRPr="008C001E">
        <w:rPr>
          <w:sz w:val="20"/>
          <w:szCs w:val="20"/>
          <w:lang w:eastAsia="ru-RU"/>
        </w:rPr>
        <w:t xml:space="preserve"> (%),</w:t>
      </w:r>
      <w:proofErr w:type="gramEnd"/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Сз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прав пользования земельным участком,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ПП</w:t>
      </w:r>
      <w:r w:rsidRPr="008C001E">
        <w:rPr>
          <w:sz w:val="20"/>
          <w:szCs w:val="20"/>
          <w:lang w:eastAsia="ru-RU"/>
        </w:rPr>
        <w:t xml:space="preserve"> — предпринимательская прибыль</w:t>
      </w:r>
      <w:proofErr w:type="gramStart"/>
      <w:r w:rsidRPr="008C001E">
        <w:rPr>
          <w:sz w:val="20"/>
          <w:szCs w:val="20"/>
          <w:lang w:eastAsia="ru-RU"/>
        </w:rPr>
        <w:t xml:space="preserve"> (%).</w:t>
      </w:r>
      <w:proofErr w:type="gramEnd"/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Расчёт восстановительной стоимости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Для определения восстановительной стоимости использовались данные Сборника №2 (2002), утверждённого </w:t>
      </w:r>
      <w:proofErr w:type="spellStart"/>
      <w:r w:rsidRPr="008C001E">
        <w:rPr>
          <w:sz w:val="20"/>
          <w:szCs w:val="20"/>
          <w:lang w:eastAsia="ru-RU"/>
        </w:rPr>
        <w:t>Госкомкадастром</w:t>
      </w:r>
      <w:proofErr w:type="spellEnd"/>
      <w:r w:rsidRPr="008C001E">
        <w:rPr>
          <w:sz w:val="20"/>
          <w:szCs w:val="20"/>
          <w:lang w:eastAsia="ru-RU"/>
        </w:rPr>
        <w:t xml:space="preserve"> </w:t>
      </w:r>
      <w:proofErr w:type="spellStart"/>
      <w:r w:rsidRPr="008C001E">
        <w:rPr>
          <w:sz w:val="20"/>
          <w:szCs w:val="20"/>
          <w:lang w:eastAsia="ru-RU"/>
        </w:rPr>
        <w:t>РУз</w:t>
      </w:r>
      <w:proofErr w:type="spellEnd"/>
      <w:r w:rsidRPr="008C001E">
        <w:rPr>
          <w:sz w:val="20"/>
          <w:szCs w:val="20"/>
          <w:lang w:eastAsia="ru-RU"/>
        </w:rPr>
        <w:t>, с учётом: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типа конструктивных элементов,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группы капитальности здания,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объема (площади) строения,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района строительства (территориальный коэффициент),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коэффициента сейсмичности (если применимо),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а также надбавок/скидок за благоустройство, улучшенные отделки, отсутствующие или дополнительные элементы.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Преимущества подхода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Затратный подход особенно обоснован при оценке индивидуальных жилых домов, поскольку: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такие объекты редко участвуют в арендных или инвестиционных сделках,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данные по аналогам ограничены или </w:t>
      </w:r>
      <w:proofErr w:type="spellStart"/>
      <w:r w:rsidRPr="008C001E">
        <w:rPr>
          <w:sz w:val="20"/>
          <w:szCs w:val="20"/>
          <w:lang w:eastAsia="ru-RU"/>
        </w:rPr>
        <w:t>малосопоставимы</w:t>
      </w:r>
      <w:proofErr w:type="spellEnd"/>
      <w:r w:rsidRPr="008C001E">
        <w:rPr>
          <w:sz w:val="20"/>
          <w:szCs w:val="20"/>
          <w:lang w:eastAsia="ru-RU"/>
        </w:rPr>
        <w:t>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стоимость новых строений в условиях Узбекистана тесно </w:t>
      </w:r>
      <w:proofErr w:type="spellStart"/>
      <w:r w:rsidRPr="008C001E">
        <w:rPr>
          <w:sz w:val="20"/>
          <w:szCs w:val="20"/>
          <w:lang w:eastAsia="ru-RU"/>
        </w:rPr>
        <w:t>коррелирует</w:t>
      </w:r>
      <w:proofErr w:type="spellEnd"/>
      <w:r w:rsidRPr="008C001E">
        <w:rPr>
          <w:sz w:val="20"/>
          <w:szCs w:val="20"/>
          <w:lang w:eastAsia="ru-RU"/>
        </w:rPr>
        <w:t xml:space="preserve"> с затратами на их возведение.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Метод позволяет получить достоверную рыночную стоимость, если корректно учтены все конструктивные параметры, индексы удорожания, физический износ и текущие рыночные условия.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В рамках расчёта восстановительной стоимости зданий использованы официальные коэффициенты удорожания, публикуемые Государственным комитетом по статистике Республики Узбекистан.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До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 применялись </w:t>
      </w:r>
      <w:r w:rsidRPr="00411792">
        <w:rPr>
          <w:rStyle w:val="ad"/>
          <w:sz w:val="20"/>
          <w:szCs w:val="20"/>
        </w:rPr>
        <w:t>общие коэффициенты удорожания</w:t>
      </w:r>
      <w:r w:rsidRPr="00411792">
        <w:rPr>
          <w:sz w:val="20"/>
          <w:szCs w:val="20"/>
        </w:rPr>
        <w:t>, ежегодно утверждаемые и используемые для индексации затрат. Например: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С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, во исполнение </w:t>
      </w:r>
      <w:r w:rsidRPr="00411792">
        <w:rPr>
          <w:rStyle w:val="ad"/>
          <w:sz w:val="20"/>
          <w:szCs w:val="20"/>
        </w:rPr>
        <w:t>пункта 8 Постановления Президента Республики Узбекистан от 01.07.2019 г. № PQ-4381</w:t>
      </w:r>
      <w:r w:rsidRPr="00411792">
        <w:rPr>
          <w:sz w:val="20"/>
          <w:szCs w:val="20"/>
        </w:rPr>
        <w:br/>
      </w:r>
      <w:r w:rsidRPr="00411792">
        <w:rPr>
          <w:rStyle w:val="ae"/>
          <w:sz w:val="20"/>
          <w:szCs w:val="20"/>
        </w:rPr>
        <w:t xml:space="preserve">«О дальнейшем совершенствовании оценочной деятельности и мерах по продаже </w:t>
      </w:r>
      <w:proofErr w:type="spellStart"/>
      <w:r w:rsidRPr="00411792">
        <w:rPr>
          <w:rStyle w:val="ae"/>
          <w:sz w:val="20"/>
          <w:szCs w:val="20"/>
        </w:rPr>
        <w:t>низкорентабельных</w:t>
      </w:r>
      <w:proofErr w:type="spellEnd"/>
      <w:r w:rsidRPr="00411792">
        <w:rPr>
          <w:rStyle w:val="ae"/>
          <w:sz w:val="20"/>
          <w:szCs w:val="20"/>
        </w:rPr>
        <w:t xml:space="preserve"> и неработающих государственных предприятий»</w:t>
      </w:r>
      <w:r w:rsidRPr="00411792">
        <w:rPr>
          <w:sz w:val="20"/>
          <w:szCs w:val="20"/>
        </w:rPr>
        <w:t>,</w:t>
      </w:r>
      <w:r w:rsidRPr="00411792">
        <w:rPr>
          <w:sz w:val="20"/>
          <w:szCs w:val="20"/>
        </w:rPr>
        <w:br/>
        <w:t xml:space="preserve">введены </w:t>
      </w:r>
      <w:r w:rsidRPr="00411792">
        <w:rPr>
          <w:rStyle w:val="ad"/>
          <w:sz w:val="20"/>
          <w:szCs w:val="20"/>
        </w:rPr>
        <w:t>специализированные коэффициенты удорожания по строительно-монтажным работам (СМР)</w:t>
      </w:r>
      <w:r w:rsidRPr="00411792">
        <w:rPr>
          <w:sz w:val="20"/>
          <w:szCs w:val="20"/>
        </w:rPr>
        <w:t>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С этого момента Госкомстат передаёт в адрес оценочных организаций (в том числе Ассоциации оценочных организаций,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>”,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, </w:t>
      </w:r>
      <w:proofErr w:type="spellStart"/>
      <w:r w:rsidRPr="00411792">
        <w:rPr>
          <w:sz w:val="20"/>
          <w:szCs w:val="20"/>
        </w:rPr>
        <w:t>ekspertlar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va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maslahatchilar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 xml:space="preserve">”) </w:t>
      </w:r>
      <w:r w:rsidRPr="00411792">
        <w:rPr>
          <w:rStyle w:val="ad"/>
          <w:sz w:val="20"/>
          <w:szCs w:val="20"/>
        </w:rPr>
        <w:t>ежемесячные статистические письма</w:t>
      </w:r>
      <w:r w:rsidRPr="00411792">
        <w:rPr>
          <w:sz w:val="20"/>
          <w:szCs w:val="20"/>
        </w:rPr>
        <w:t>, содержащие актуальные значения коэффициентов.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 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применённых коэффициентов удорожания</w:t>
      </w:r>
    </w:p>
    <w:p w:rsidR="00A71C4B" w:rsidRP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center"/>
        <w:rPr>
          <w:sz w:val="20"/>
          <w:szCs w:val="20"/>
        </w:rPr>
      </w:pPr>
    </w:p>
    <w:p w:rsidR="0043249B" w:rsidRPr="00052B7A" w:rsidRDefault="00A71C4B" w:rsidP="00A71C4B">
      <w:pPr>
        <w:pStyle w:val="a3"/>
        <w:spacing w:before="12"/>
        <w:ind w:left="0"/>
        <w:jc w:val="center"/>
        <w:rPr>
          <w:b/>
        </w:rPr>
      </w:pPr>
      <w:r w:rsidRPr="00A71C4B">
        <w:rPr>
          <w:b/>
        </w:rPr>
        <w:t xml:space="preserve">[ koeff_table ]</w:t>
      </w:r>
    </w:p>
    <w:p w:rsidR="00A71C4B" w:rsidRPr="00A71C4B" w:rsidRDefault="00A71C4B">
      <w:pPr>
        <w:pStyle w:val="a3"/>
        <w:spacing w:before="12"/>
        <w:ind w:left="0"/>
        <w:jc w:val="left"/>
      </w:pPr>
    </w:p>
    <w:p w:rsidR="0043249B" w:rsidRDefault="00E127F6">
      <w:pPr>
        <w:pStyle w:val="Heading4"/>
      </w:pPr>
      <w:r>
        <w:t>Расчет</w:t>
      </w:r>
      <w:r>
        <w:rPr>
          <w:spacing w:val="-11"/>
        </w:rPr>
        <w:t xml:space="preserve"> </w:t>
      </w:r>
      <w:r>
        <w:t>прибыли</w:t>
      </w:r>
      <w:r>
        <w:rPr>
          <w:spacing w:val="-10"/>
        </w:rPr>
        <w:t xml:space="preserve"> </w:t>
      </w:r>
      <w:r>
        <w:rPr>
          <w:spacing w:val="-2"/>
        </w:rPr>
        <w:t>предпринимателя.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Создание объекта недвижимости (включая приобретение прав на землю, возведение строений и ввод в эксплуатацию) является самостоятельным инвестиционным процессом, сопряжённым с рисками и требующим компенсации в виде предпринимательской прибыли. В рамках затратного подхода эта прибыль отражает справедливую норму доходности, ожидаемую инвестором за использование собственного капитала.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Прибыль предпринимателя рассчитывалась на основе экономической модели, учитывающей: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 xml:space="preserve">годовую норму отдачи на вложенный капитал</w:t>
      </w:r>
      <w:r w:rsidRPr="007B73E7">
        <w:rPr>
          <w:sz w:val="20"/>
          <w:szCs w:val="20"/>
          <w:lang w:eastAsia="ru-RU"/>
        </w:rPr>
        <w:t xml:space="preserve"> ({{ lineEdit_CBUF }}),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lastRenderedPageBreak/>
        <w:t>долю авансовых платежей</w:t>
      </w:r>
      <w:r w:rsidRPr="007B73E7">
        <w:rPr>
          <w:sz w:val="20"/>
          <w:szCs w:val="20"/>
          <w:lang w:eastAsia="ru-RU"/>
        </w:rPr>
        <w:t xml:space="preserve"> (25%),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продолжительность строительства</w:t>
      </w:r>
      <w:r w:rsidRPr="007B73E7">
        <w:rPr>
          <w:sz w:val="20"/>
          <w:szCs w:val="20"/>
          <w:lang w:eastAsia="ru-RU"/>
        </w:rPr>
        <w:t xml:space="preserve"> (1,5 года).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Расчёт проводился по следующей формуле: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r w:rsidRPr="007B73E7">
        <w:rPr>
          <w:b/>
          <w:sz w:val="32"/>
          <w:szCs w:val="32"/>
          <w:lang w:eastAsia="ru-RU"/>
        </w:rPr>
        <w:t>Ппр=0,5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[1+(H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F)/3+G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(1+(2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H²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F²)/3)]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100%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где: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7B73E7">
        <w:rPr>
          <w:b/>
          <w:bCs/>
          <w:sz w:val="20"/>
          <w:szCs w:val="20"/>
          <w:lang w:eastAsia="ru-RU"/>
        </w:rPr>
        <w:t>Ппр</w:t>
      </w:r>
      <w:proofErr w:type="spellEnd"/>
      <w:r w:rsidRPr="007B73E7">
        <w:rPr>
          <w:sz w:val="20"/>
          <w:szCs w:val="20"/>
          <w:lang w:eastAsia="ru-RU"/>
        </w:rPr>
        <w:t xml:space="preserve"> — прибыль предпринимателя</w:t>
      </w:r>
      <w:proofErr w:type="gramStart"/>
      <w:r w:rsidRPr="007B73E7">
        <w:rPr>
          <w:sz w:val="20"/>
          <w:szCs w:val="20"/>
          <w:lang w:eastAsia="ru-RU"/>
        </w:rPr>
        <w:t xml:space="preserve"> (%),</w:t>
      </w:r>
      <w:proofErr w:type="gramEnd"/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H</w:t>
      </w:r>
      <w:r w:rsidRPr="007B73E7">
        <w:rPr>
          <w:sz w:val="20"/>
          <w:szCs w:val="20"/>
          <w:lang w:eastAsia="ru-RU"/>
        </w:rPr>
        <w:t xml:space="preserve"> — срок строительства, лет,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 xml:space="preserve">F</w:t>
      </w:r>
      <w:r w:rsidRPr="007B73E7">
        <w:rPr>
          <w:sz w:val="20"/>
          <w:szCs w:val="20"/>
          <w:lang w:eastAsia="ru-RU"/>
        </w:rPr>
        <w:t xml:space="preserve"> — годовая норма отдачи на вложенный капитал ({{ lineEdit_CBUF }}),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G</w:t>
      </w:r>
      <w:r w:rsidRPr="007B73E7">
        <w:rPr>
          <w:sz w:val="20"/>
          <w:szCs w:val="20"/>
          <w:lang w:eastAsia="ru-RU"/>
        </w:rPr>
        <w:t xml:space="preserve"> — доля авансовых платежей (25%).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 xml:space="preserve">При использовании значения ставки ЦБ на дату оценки ({{ lineEdit_CBUF }}) и прочих параметров, </w:t>
      </w:r>
      <w:r w:rsidRPr="007B73E7">
        <w:rPr>
          <w:b/>
          <w:bCs/>
          <w:sz w:val="20"/>
          <w:szCs w:val="20"/>
          <w:lang w:eastAsia="ru-RU"/>
        </w:rPr>
        <w:t xml:space="preserve">предпринимательская прибыль для данного объекта составила: {{ profit }}</w:t>
      </w:r>
      <w:r w:rsidRPr="007B73E7">
        <w:rPr>
          <w:sz w:val="20"/>
          <w:szCs w:val="20"/>
          <w:lang w:eastAsia="ru-RU"/>
        </w:rPr>
        <w:t>, что включено в итоговую стоимость объекта оценки.</w:t>
      </w:r>
    </w:p>
    <w:p w:rsidR="0043249B" w:rsidRDefault="00E127F6">
      <w:pPr>
        <w:pStyle w:val="Heading4"/>
        <w:spacing w:before="230"/>
      </w:pPr>
      <w:r>
        <w:rPr>
          <w:spacing w:val="-2"/>
        </w:rPr>
        <w:t>Определение</w:t>
      </w:r>
      <w:r>
        <w:t xml:space="preserve"> </w:t>
      </w:r>
      <w:r>
        <w:rPr>
          <w:spacing w:val="-2"/>
        </w:rPr>
        <w:t>величины</w:t>
      </w:r>
      <w:r>
        <w:rPr>
          <w:spacing w:val="3"/>
        </w:rPr>
        <w:t xml:space="preserve"> </w:t>
      </w:r>
      <w:r>
        <w:rPr>
          <w:spacing w:val="-2"/>
        </w:rPr>
        <w:t>накопленного</w:t>
      </w:r>
      <w:r>
        <w:rPr>
          <w:spacing w:val="1"/>
        </w:rPr>
        <w:t xml:space="preserve"> </w:t>
      </w:r>
      <w:r>
        <w:rPr>
          <w:spacing w:val="-2"/>
        </w:rPr>
        <w:t>износа</w:t>
      </w:r>
      <w:r>
        <w:rPr>
          <w:spacing w:val="2"/>
        </w:rPr>
        <w:t xml:space="preserve"> </w:t>
      </w:r>
      <w:r>
        <w:rPr>
          <w:spacing w:val="-2"/>
        </w:rPr>
        <w:t>объекта</w:t>
      </w:r>
      <w:r>
        <w:rPr>
          <w:spacing w:val="2"/>
        </w:rPr>
        <w:t xml:space="preserve"> </w:t>
      </w:r>
      <w:r>
        <w:rPr>
          <w:spacing w:val="-2"/>
        </w:rPr>
        <w:t>оценки.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Величина износа объекта определялась в рамках затратного подхода с целью корректного определения остаточной стоимости зданий. В процессе оценки были рассмотрены все три возможных вида износа: </w:t>
      </w:r>
      <w:r w:rsidRPr="007B73E7">
        <w:rPr>
          <w:rStyle w:val="ad"/>
          <w:sz w:val="20"/>
          <w:szCs w:val="20"/>
        </w:rPr>
        <w:t>физический</w:t>
      </w:r>
      <w:r w:rsidRPr="007B73E7">
        <w:rPr>
          <w:sz w:val="20"/>
          <w:szCs w:val="20"/>
        </w:rPr>
        <w:t xml:space="preserve">, </w:t>
      </w:r>
      <w:r w:rsidRPr="007B73E7">
        <w:rPr>
          <w:rStyle w:val="ad"/>
          <w:sz w:val="20"/>
          <w:szCs w:val="20"/>
        </w:rPr>
        <w:t>функциональный</w:t>
      </w:r>
      <w:r w:rsidRPr="007B73E7">
        <w:rPr>
          <w:sz w:val="20"/>
          <w:szCs w:val="20"/>
        </w:rPr>
        <w:t xml:space="preserve"> и </w:t>
      </w:r>
      <w:r w:rsidRPr="007B73E7">
        <w:rPr>
          <w:rStyle w:val="ad"/>
          <w:sz w:val="20"/>
          <w:szCs w:val="20"/>
        </w:rPr>
        <w:t>внешний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Физический износ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расчёта использован </w:t>
      </w:r>
      <w:r w:rsidRPr="007B73E7">
        <w:rPr>
          <w:rStyle w:val="ad"/>
          <w:sz w:val="20"/>
          <w:szCs w:val="20"/>
        </w:rPr>
        <w:t>поэлементный метод</w:t>
      </w:r>
      <w:r w:rsidRPr="007B73E7">
        <w:rPr>
          <w:sz w:val="20"/>
          <w:szCs w:val="20"/>
        </w:rPr>
        <w:t>, основанный на анализе технического состояния конструктивных элементов объекта. Метод соответствует Методике определения физического износа (ГККИНП-18-037-00) и реализуется по формуле:</w:t>
      </w:r>
    </w:p>
    <w:p w:rsidR="007B73E7" w:rsidRPr="00B9205D" w:rsidRDefault="007B73E7" w:rsidP="00B9205D">
      <w:pPr>
        <w:spacing w:line="242" w:lineRule="auto"/>
        <w:ind w:left="284" w:firstLine="709"/>
        <w:jc w:val="center"/>
        <w:rPr>
          <w:b/>
          <w:sz w:val="32"/>
          <w:szCs w:val="32"/>
        </w:rPr>
      </w:pPr>
      <w:proofErr w:type="spellStart"/>
      <w:proofErr w:type="gramStart"/>
      <w:r w:rsidRPr="00B9205D">
        <w:rPr>
          <w:rStyle w:val="katex-mathml"/>
          <w:b/>
          <w:sz w:val="32"/>
          <w:szCs w:val="32"/>
        </w:rPr>
        <w:t>F</w:t>
      </w:r>
      <w:proofErr w:type="gramEnd"/>
      <w:r w:rsidRPr="00B9205D">
        <w:rPr>
          <w:rStyle w:val="katex-mathml"/>
          <w:b/>
          <w:sz w:val="32"/>
          <w:szCs w:val="32"/>
        </w:rPr>
        <w:t>физ=</w:t>
      </w:r>
      <w:proofErr w:type="spellEnd"/>
      <w:r w:rsidRPr="00B9205D">
        <w:rPr>
          <w:rStyle w:val="katex-mathml"/>
          <w:b/>
          <w:sz w:val="32"/>
          <w:szCs w:val="32"/>
        </w:rPr>
        <w:t>∑(</w:t>
      </w:r>
      <w:proofErr w:type="spellStart"/>
      <w:r w:rsidRPr="00B9205D">
        <w:rPr>
          <w:rStyle w:val="katex-mathml"/>
          <w:b/>
          <w:sz w:val="32"/>
          <w:szCs w:val="32"/>
        </w:rPr>
        <w:t>Fk</w:t>
      </w:r>
      <w:r w:rsidRPr="00B9205D">
        <w:rPr>
          <w:rStyle w:val="katex-mathml"/>
          <w:rFonts w:ascii="Cambria Math" w:hAnsi="Cambria Math"/>
          <w:b/>
          <w:sz w:val="32"/>
          <w:szCs w:val="32"/>
        </w:rPr>
        <w:t>⋅</w:t>
      </w:r>
      <w:r w:rsidRPr="00B9205D">
        <w:rPr>
          <w:rStyle w:val="katex-mathml"/>
          <w:b/>
          <w:sz w:val="32"/>
          <w:szCs w:val="32"/>
        </w:rPr>
        <w:t>Lk</w:t>
      </w:r>
      <w:proofErr w:type="spellEnd"/>
      <w:r w:rsidRPr="00B9205D">
        <w:rPr>
          <w:rStyle w:val="katex-mathml"/>
          <w:b/>
          <w:sz w:val="32"/>
          <w:szCs w:val="32"/>
        </w:rPr>
        <w:t>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где: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F&lt;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износ </w:t>
      </w:r>
      <w:r w:rsidRPr="007B73E7">
        <w:rPr>
          <w:rStyle w:val="ae"/>
          <w:sz w:val="20"/>
          <w:szCs w:val="20"/>
        </w:rPr>
        <w:t>k</w:t>
      </w:r>
      <w:r w:rsidRPr="007B73E7">
        <w:rPr>
          <w:sz w:val="20"/>
          <w:szCs w:val="20"/>
        </w:rPr>
        <w:t>-го конструктивного элемента,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L&lt;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его удельный вес в общей восстановительной стоимости объекта.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Использование поэлементного подхода обеспечивает наиболее точную оценку, особенно для индивидуальных жилых домов, где степень износа различных элементов (фундамента, кровли, стен, отделки) может существенно различаться.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Функциональный износ (не учитывался)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Функциональный износ предполагает снижение полезности объекта вследствие его планировочных, инженерных или иных конструктивных особенностей, не соответствующих требованиям рынка.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Однако в случае </w:t>
      </w:r>
      <w:r w:rsidRPr="007B73E7">
        <w:rPr>
          <w:rStyle w:val="ad"/>
          <w:sz w:val="20"/>
          <w:szCs w:val="20"/>
        </w:rPr>
        <w:t>оценки индивидуального жилого дома</w:t>
      </w:r>
      <w:r w:rsidRPr="007B73E7">
        <w:rPr>
          <w:sz w:val="20"/>
          <w:szCs w:val="20"/>
        </w:rPr>
        <w:t xml:space="preserve">, данный вид износа, как правило, </w:t>
      </w:r>
      <w:r w:rsidRPr="007B73E7">
        <w:rPr>
          <w:rStyle w:val="ad"/>
          <w:sz w:val="20"/>
          <w:szCs w:val="20"/>
        </w:rPr>
        <w:t>не применим</w:t>
      </w:r>
      <w:r w:rsidRPr="007B73E7">
        <w:rPr>
          <w:sz w:val="20"/>
          <w:szCs w:val="20"/>
        </w:rPr>
        <w:t xml:space="preserve"> по следующим причинам: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Планировка жилых домов в Узбекистане, как правило, </w:t>
      </w:r>
      <w:r w:rsidRPr="007B73E7">
        <w:rPr>
          <w:rStyle w:val="ad"/>
          <w:sz w:val="20"/>
          <w:szCs w:val="20"/>
        </w:rPr>
        <w:t>адаптирована под индивидуальные потребности собственника</w:t>
      </w:r>
      <w:r w:rsidRPr="007B73E7">
        <w:rPr>
          <w:sz w:val="20"/>
          <w:szCs w:val="20"/>
        </w:rPr>
        <w:t>, а не под массовый рынок.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Отсутствие унифицированных рыночных стандартов</w:t>
      </w:r>
      <w:r w:rsidRPr="007B73E7">
        <w:rPr>
          <w:sz w:val="20"/>
          <w:szCs w:val="20"/>
        </w:rPr>
        <w:t xml:space="preserve"> к внутренним характеристикам жилых домов (в отличие от офисов, торговых помещений и пр.).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Ограниченность арендного рынка</w:t>
      </w:r>
      <w:r w:rsidRPr="007B73E7">
        <w:rPr>
          <w:sz w:val="20"/>
          <w:szCs w:val="20"/>
        </w:rPr>
        <w:t xml:space="preserve"> и отсутствие достоверных данных о потере дохода вследствие функционального устаревания.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Объект сохраняет жилую функцию</w:t>
      </w:r>
      <w:r w:rsidRPr="007B73E7">
        <w:rPr>
          <w:sz w:val="20"/>
          <w:szCs w:val="20"/>
        </w:rPr>
        <w:t>, не выходя за пределы нормативных требований по безопасности и пригодности.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Поэтому </w:t>
      </w:r>
      <w:r w:rsidRPr="007B73E7">
        <w:rPr>
          <w:rStyle w:val="ad"/>
          <w:sz w:val="20"/>
          <w:szCs w:val="20"/>
        </w:rPr>
        <w:t>величина функционального износа принята равной нулю</w:t>
      </w:r>
      <w:r w:rsidRPr="007B73E7">
        <w:rPr>
          <w:sz w:val="20"/>
          <w:szCs w:val="20"/>
        </w:rPr>
        <w:t>, что соответствует методической практике оценки жилых объектов.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Внешний износ (не применялся)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Внешний износ связан с неблагоприятными факторами, не зависящими от самого объекта — ухудшение района, изменения законодательства, наличие обременений и т.п.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 рамках настоящей оценки </w:t>
      </w:r>
      <w:r w:rsidRPr="007B73E7">
        <w:rPr>
          <w:rStyle w:val="ad"/>
          <w:sz w:val="20"/>
          <w:szCs w:val="20"/>
        </w:rPr>
        <w:t>не установлено наличие внешних факторов</w:t>
      </w:r>
      <w:r w:rsidRPr="007B73E7">
        <w:rPr>
          <w:sz w:val="20"/>
          <w:szCs w:val="20"/>
        </w:rPr>
        <w:t xml:space="preserve">, негативно влияющих на стоимость объекта. Район обладает стандартными потребительскими характеристиками, а использование объекта соответствует его правовому статусу и фактическому положению. Следовательно, </w:t>
      </w:r>
      <w:r w:rsidRPr="007B73E7">
        <w:rPr>
          <w:rStyle w:val="ad"/>
          <w:sz w:val="20"/>
          <w:szCs w:val="20"/>
        </w:rPr>
        <w:t>внешний износ не учитывался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Итог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индивидуальных жилых домов в условиях Узбекистана при расчёте остаточной стоимости </w:t>
      </w:r>
      <w:r w:rsidRPr="007B73E7">
        <w:rPr>
          <w:rStyle w:val="ad"/>
          <w:sz w:val="20"/>
          <w:szCs w:val="20"/>
        </w:rPr>
        <w:t>достаточно учёта только физического износа</w:t>
      </w:r>
      <w:r w:rsidRPr="007B73E7">
        <w:rPr>
          <w:sz w:val="20"/>
          <w:szCs w:val="20"/>
        </w:rPr>
        <w:t>, поскольку: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другие виды износа проявляются крайне редко,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достоверные методы количественной оценки таких износов отсутствуют,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стандарты и практика оценки в регионе ориентированы на учёт физического износа как основного корректирующего фактора.</w:t>
      </w:r>
    </w:p>
    <w:p w:rsidR="00AA1DF9" w:rsidRDefault="00AA1DF9">
      <w:pPr>
        <w:spacing w:before="91"/>
        <w:ind w:left="2645"/>
        <w:jc w:val="center"/>
        <w:rPr>
          <w:b/>
          <w:sz w:val="20"/>
          <w:u w:val="single"/>
        </w:rPr>
      </w:pPr>
    </w:p>
    <w:p w:rsidR="0043249B" w:rsidRDefault="00E127F6" w:rsidP="00AA1DF9">
      <w:pPr>
        <w:spacing w:before="91"/>
        <w:ind w:left="284"/>
        <w:jc w:val="center"/>
        <w:rPr>
          <w:b/>
          <w:sz w:val="20"/>
        </w:rPr>
      </w:pPr>
      <w:r>
        <w:rPr>
          <w:b/>
          <w:sz w:val="20"/>
          <w:u w:val="single"/>
        </w:rPr>
        <w:lastRenderedPageBreak/>
        <w:t>Расчет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восстановительной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стоимости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оцениваемого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 xml:space="preserve">объекта</w:t>
      </w:r>
    </w:p>
    <w:p w:rsidR="00DA2D1D" w:rsidRPr="00047F90" w:rsidRDefault="00B045D0" w:rsidP="00AA1DF9">
      <w:pPr>
        <w:spacing w:before="228"/>
        <w:ind w:left="567" w:right="3"/>
        <w:jc w:val="center"/>
        <w:rPr>
          <w:rFonts w:ascii="Cambria" w:hAnsi="Cambria"/>
          <w:b/>
          <w:sz w:val="20"/>
        </w:rPr>
      </w:pPr>
      <w:r w:rsidRPr="00B045D0">
        <w:rPr>
          <w:rFonts w:ascii="Cambria" w:hAnsi="Cambria"/>
          <w:b/>
          <w:sz w:val="20"/>
        </w:rPr>
        <w:t xml:space="preserve">[[LITER_TABLES_PLACEHOLDER]]</w:t>
      </w:r>
    </w:p>
    <w:p w:rsidR="0043249B" w:rsidRDefault="00E127F6">
      <w:pPr>
        <w:pStyle w:val="a3"/>
        <w:spacing w:before="226"/>
        <w:jc w:val="left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остаточная</w:t>
      </w:r>
      <w:r>
        <w:rPr>
          <w:spacing w:val="-8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дату</w:t>
      </w:r>
      <w:r>
        <w:rPr>
          <w:spacing w:val="-11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rPr>
          <w:spacing w:val="-2"/>
        </w:rPr>
        <w:t xml:space="preserve">составляет:</w:t>
      </w:r>
    </w:p>
    <w:p w:rsidR="0043249B" w:rsidRDefault="0043249B">
      <w:pPr>
        <w:pStyle w:val="a3"/>
        <w:spacing w:before="4"/>
        <w:ind w:left="0"/>
        <w:jc w:val="left"/>
      </w:pPr>
    </w:p>
    <w:p w:rsidR="0043249B" w:rsidRDefault="009D1BA6">
      <w:pPr>
        <w:ind w:left="350"/>
        <w:jc w:val="center"/>
        <w:rPr>
          <w:b/>
          <w:sz w:val="24"/>
        </w:rPr>
      </w:pPr>
      <w:r w:rsidRPr="00367A66">
        <w:rPr>
          <w:b/>
          <w:color w:val="0000FF"/>
          <w:sz w:val="24"/>
          <w:u w:val="single" w:color="0000FF"/>
        </w:rPr>
        <w:t xml:space="preserve">{{ agreement.building_cost }}</w:t>
      </w:r>
      <w:r w:rsidR="00E127F6">
        <w:rPr>
          <w:b/>
          <w:color w:val="0000FF"/>
          <w:sz w:val="24"/>
          <w:u w:val="single" w:color="0000FF"/>
        </w:rPr>
        <w:t xml:space="preserve"> </w:t>
      </w:r>
      <w:proofErr w:type="spellStart"/>
      <w:r w:rsidR="00E127F6">
        <w:rPr>
          <w:b/>
          <w:color w:val="0000FF"/>
          <w:spacing w:val="-5"/>
          <w:sz w:val="24"/>
          <w:u w:val="single" w:color="0000FF"/>
        </w:rPr>
        <w:t>сум</w:t>
      </w:r>
      <w:proofErr w:type="spellEnd"/>
    </w:p>
    <w:p w:rsidR="0043249B" w:rsidRDefault="00E127F6">
      <w:pPr>
        <w:pStyle w:val="Heading4"/>
        <w:spacing w:before="244"/>
      </w:pPr>
      <w:r>
        <w:t>Расчет</w:t>
      </w:r>
      <w:r>
        <w:rPr>
          <w:spacing w:val="-11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аренды</w:t>
      </w:r>
      <w:r>
        <w:rPr>
          <w:spacing w:val="-11"/>
        </w:rPr>
        <w:t xml:space="preserve"> </w:t>
      </w:r>
      <w:r>
        <w:t>земельного</w:t>
      </w:r>
      <w:r>
        <w:rPr>
          <w:spacing w:val="-11"/>
        </w:rPr>
        <w:t xml:space="preserve"> </w:t>
      </w:r>
      <w:r>
        <w:rPr>
          <w:spacing w:val="-2"/>
        </w:rPr>
        <w:t>участка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Оцениваемый земельный участок площадью {{ land_area }} м² относится к объекту жилой недвижимости. Стоимость права пользования таким участком, находящимся в государственной или частной собственности, обычно интерпретируется как стоимость вещных прав на землю. Наиболее распространённой формой такого права является долгосрочная аренда, предоставляющая право использования участка и извлечения определённых выгод.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Городской рынок земли в Узбекистане сформировался сравнительно недавно, и законодательная база, регулирующая сделки с правами землепользования, остаётся неполной. Земельные участки, особенно в пределах населённых пунктов, чаще всего предоставляются юридическим и физическим лицам на условиях долгосрочной аренды. В связи с этим, рынок земли представляет собой, по сути, рынок </w:t>
      </w:r>
      <w:r w:rsidRPr="009D1BA6">
        <w:rPr>
          <w:b/>
          <w:bCs/>
          <w:sz w:val="20"/>
          <w:szCs w:val="20"/>
          <w:lang w:eastAsia="ru-RU"/>
        </w:rPr>
        <w:t>прав пользования</w:t>
      </w:r>
      <w:r w:rsidRPr="009D1BA6">
        <w:rPr>
          <w:sz w:val="20"/>
          <w:szCs w:val="20"/>
          <w:lang w:eastAsia="ru-RU"/>
        </w:rPr>
        <w:t>, а не купли-продажи земли как таковой.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практике оценки недвижимости применяются три классических подхода: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Затратный</w:t>
      </w:r>
      <w:r w:rsidRPr="009D1BA6">
        <w:rPr>
          <w:sz w:val="20"/>
          <w:szCs w:val="20"/>
          <w:lang w:eastAsia="ru-RU"/>
        </w:rPr>
        <w:t xml:space="preserve"> — расчёт стоимости на основе затрат на воспроизводство объекта за вычетом износа;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Доходный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капитализации доходов, получаемых от объекта;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Сравнительный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анализа цен продажи сопоставимых объектов (аналогов).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Однако применимость каждого из подходов зависит от характера объекта, целей оценки и доступности рыночной информации. В частности, </w:t>
      </w:r>
      <w:r w:rsidRPr="009D1BA6">
        <w:rPr>
          <w:b/>
          <w:bCs/>
          <w:sz w:val="20"/>
          <w:szCs w:val="20"/>
          <w:lang w:eastAsia="ru-RU"/>
        </w:rPr>
        <w:t>затратный подход</w:t>
      </w:r>
      <w:r w:rsidRPr="009D1BA6">
        <w:rPr>
          <w:sz w:val="20"/>
          <w:szCs w:val="20"/>
          <w:lang w:eastAsia="ru-RU"/>
        </w:rPr>
        <w:t xml:space="preserve"> редко применяется при самостоятельной оценке земельных участков, поскольку отсутствует прозрачная информация о валовых затратах на освоение ЗУ.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Доходный подход также имеет ограниченное применение для оценки участков под жилую застройку, поскольку: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отсутствуют стабильные нормативные арендные ставки;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нет прямых рыночных предложений по аренде ЗУ для индивидуального жилищного строительства;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 всегда возможно достоверно выделить земельную составляющую из общего дохода от застроенного объекта.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данной ситуации наибольшую надёжность и достоверность обеспечивает </w:t>
      </w:r>
      <w:r w:rsidRPr="009D1BA6">
        <w:rPr>
          <w:b/>
          <w:bCs/>
          <w:sz w:val="20"/>
          <w:szCs w:val="20"/>
          <w:lang w:eastAsia="ru-RU"/>
        </w:rPr>
        <w:t>сравнительный подход</w:t>
      </w:r>
      <w:r w:rsidRPr="009D1BA6">
        <w:rPr>
          <w:sz w:val="20"/>
          <w:szCs w:val="20"/>
          <w:lang w:eastAsia="ru-RU"/>
        </w:rPr>
        <w:t>. Его применение обосновано следующими факторами: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наличие на рынке Ферганской области достаточного количества предложений по продаже ЗУ;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наблюдаемая активность частных инвесторов в приобретении участков с выгодным местоположением;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возможность выделения факторов сравнения и применения корректировок.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Для оценки рыночной стоимости рассматриваемого земельного участка применён </w:t>
      </w: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  <w:r w:rsidRPr="009D1BA6">
        <w:rPr>
          <w:sz w:val="20"/>
          <w:szCs w:val="20"/>
          <w:lang w:eastAsia="ru-RU"/>
        </w:rPr>
        <w:t>, основанный на сопоставлении объекта оценки с аналогичными участками, выставленными на продажу на открытом рынке.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Методика включает следующие этапы: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Отбор объектов-аналогов</w:t>
      </w:r>
      <w:r w:rsidRPr="009D1BA6">
        <w:rPr>
          <w:sz w:val="20"/>
          <w:szCs w:val="20"/>
          <w:lang w:eastAsia="ru-RU"/>
        </w:rPr>
        <w:t>, максимально сопоставимых по размеру, расположению и целевому назначению.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Анализ и верификация информации</w:t>
      </w:r>
      <w:r w:rsidRPr="009D1BA6">
        <w:rPr>
          <w:sz w:val="20"/>
          <w:szCs w:val="20"/>
          <w:lang w:eastAsia="ru-RU"/>
        </w:rPr>
        <w:t xml:space="preserve"> по каждому аналогу: цена предложения, дата размещения, площадь, близость к инфраструктуре и транспортной доступности.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Выявление различий</w:t>
      </w:r>
      <w:r w:rsidRPr="009D1BA6">
        <w:rPr>
          <w:sz w:val="20"/>
          <w:szCs w:val="20"/>
          <w:lang w:eastAsia="ru-RU"/>
        </w:rPr>
        <w:t xml:space="preserve"> между оцениваемым объектом и аналогами по основным параметрам: местоположение, доступность коммуникаций, правовой статус, срок экспозиции, дата предложения.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Расчёт корректировок</w:t>
      </w:r>
      <w:r w:rsidRPr="009D1BA6">
        <w:rPr>
          <w:sz w:val="20"/>
          <w:szCs w:val="20"/>
          <w:lang w:eastAsia="ru-RU"/>
        </w:rPr>
        <w:t xml:space="preserve"> к ценам аналогов с учётом выявленных различий. Корректировки выполнены с применением метода сопоставимых пар и экспертного анализа.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Согласование скорректированных цен</w:t>
      </w:r>
      <w:r w:rsidRPr="009D1BA6">
        <w:rPr>
          <w:sz w:val="20"/>
          <w:szCs w:val="20"/>
          <w:lang w:eastAsia="ru-RU"/>
        </w:rPr>
        <w:t xml:space="preserve"> и расчёт итоговой рыночной стоимости ЗУ — как средневзвешенного значения из скорректированных цен аналогов.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рамках настоящей оценки {{ analogs_count }}, расположенных на территории </w:t>
      </w:r>
      <w:r>
        <w:rPr>
          <w:sz w:val="20"/>
          <w:szCs w:val="20"/>
          <w:lang w:eastAsia="ru-RU"/>
        </w:rPr>
        <w:t xml:space="preserve">расположения объекта оценки (</w:t>
      </w:r>
      <w:r w:rsidRPr="009D1BA6">
        <w:rPr>
          <w:sz w:val="20"/>
          <w:szCs w:val="20"/>
          <w:lang w:eastAsia="ru-RU"/>
        </w:rPr>
        <w:t xml:space="preserve">{{ administrative.oblast }}</w:t>
      </w:r>
      <w:r>
        <w:rPr>
          <w:color w:val="0000FF"/>
        </w:rPr>
        <w:t>)</w:t>
      </w:r>
      <w:r w:rsidRPr="009D1BA6">
        <w:rPr>
          <w:sz w:val="20"/>
          <w:szCs w:val="20"/>
          <w:lang w:eastAsia="ru-RU"/>
        </w:rPr>
        <w:t>. Все участки предназначены для индивидуального жилищного строительства. Их характеристики и расчетные корректировки представлены в таблице ниже (</w:t>
      </w:r>
      <w:proofErr w:type="gramStart"/>
      <w:r w:rsidRPr="009D1BA6">
        <w:rPr>
          <w:sz w:val="20"/>
          <w:szCs w:val="20"/>
          <w:lang w:eastAsia="ru-RU"/>
        </w:rPr>
        <w:t>см</w:t>
      </w:r>
      <w:proofErr w:type="gramEnd"/>
      <w:r w:rsidRPr="009D1BA6">
        <w:rPr>
          <w:sz w:val="20"/>
          <w:szCs w:val="20"/>
          <w:lang w:eastAsia="ru-RU"/>
        </w:rPr>
        <w:t>. раздел «Сравнительный анализ аналогов»).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Вывод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С учётом анализа доступных рыночных данных, особенностей правового режима землепользования, а также ограниченности применения других подходов, </w:t>
      </w:r>
      <w:r w:rsidRPr="009D1BA6">
        <w:rPr>
          <w:b/>
          <w:bCs/>
          <w:sz w:val="20"/>
          <w:szCs w:val="20"/>
          <w:lang w:eastAsia="ru-RU"/>
        </w:rPr>
        <w:t>наиболее обоснованным и объективным методом определения рыночной стоимости земельного участка под жилой дом является метод прямого сравнительного анализа продаж.</w:t>
      </w:r>
    </w:p>
    <w:p w:rsidR="009D1BA6" w:rsidRDefault="009D1BA6">
      <w:pPr>
        <w:ind w:left="1833"/>
        <w:jc w:val="both"/>
        <w:rPr>
          <w:b/>
          <w:sz w:val="20"/>
        </w:rPr>
      </w:pP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lastRenderedPageBreak/>
        <w:t>Корректировки вносились как в общую цену объектов-аналогов, так и в соответствующие удельные показатели (например, стоимость за 1 сотку или за 1 м²). Поправки выражались в процентах либо в абсолютных величинах в денежном выражении — в зависимости от природы сравниваемого параметра и доступных рыночных данных.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Порядок внесения корректировок соответствовал принятой в оценочной практике последовательности: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В первую очередь применялись поправки, отражающие: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особенности сделки (вынужденная продажа, закрытые торги и пр.);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разницу в сроках экспозиции объекта на рынке.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После внесения вышеперечисленных поправок цена каждого аналога приводилась к </w:t>
      </w:r>
      <w:r w:rsidRPr="009B284C">
        <w:rPr>
          <w:rStyle w:val="ad"/>
          <w:sz w:val="20"/>
          <w:szCs w:val="20"/>
        </w:rPr>
        <w:t>удельному показателю</w:t>
      </w:r>
      <w:r w:rsidRPr="009B284C">
        <w:rPr>
          <w:sz w:val="20"/>
          <w:szCs w:val="20"/>
        </w:rPr>
        <w:t xml:space="preserve"> (например, стоимость за 1 м² или за 1 сотку).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Далее в удельную цену вносились </w:t>
      </w:r>
      <w:r w:rsidRPr="009B284C">
        <w:rPr>
          <w:rStyle w:val="ad"/>
          <w:sz w:val="20"/>
          <w:szCs w:val="20"/>
        </w:rPr>
        <w:t>поправки по физическим и качественным характеристикам</w:t>
      </w:r>
      <w:r w:rsidRPr="009B284C">
        <w:rPr>
          <w:sz w:val="20"/>
          <w:szCs w:val="20"/>
        </w:rPr>
        <w:t>, включая: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местоположение (близость к инфраструктуре, зона застройки);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площадь участка;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иные параметры, влияющие на потребительскую ценность участка.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Скорректированные цены аналогов были согласованы с учетом количества и значимости внесённых поправок.</w:t>
      </w:r>
      <w:r w:rsidRPr="009B284C">
        <w:rPr>
          <w:sz w:val="20"/>
          <w:szCs w:val="20"/>
        </w:rPr>
        <w:t xml:space="preserve"> При расчёте итоговой стоимости использовалось </w:t>
      </w:r>
      <w:r w:rsidRPr="009B284C">
        <w:rPr>
          <w:rStyle w:val="ad"/>
          <w:sz w:val="20"/>
          <w:szCs w:val="20"/>
        </w:rPr>
        <w:t>взвешенное среднее значение</w:t>
      </w:r>
      <w:r w:rsidRPr="009B284C">
        <w:rPr>
          <w:sz w:val="20"/>
          <w:szCs w:val="20"/>
        </w:rPr>
        <w:t>, где вес каждого аналога определялся объёмом и значимостью внесённых корректировок, а также степенью его сопоставимости с оцениваемым объектом.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Итоговая рыночная стоимость права долгосрочной аренды земельного участка, рассчитанная методом прямого сравнительного анализа, представлена в следующей таблице.</w:t>
      </w:r>
    </w:p>
    <w:p w:rsidR="0043249B" w:rsidRDefault="0043249B">
      <w:pPr>
        <w:pStyle w:val="a3"/>
        <w:spacing w:before="4"/>
        <w:ind w:left="0"/>
        <w:jc w:val="left"/>
        <w:rPr>
          <w:i/>
        </w:rPr>
      </w:pPr>
    </w:p>
    <w:p w:rsidR="0043249B" w:rsidRDefault="00E127F6">
      <w:pPr>
        <w:spacing w:line="229" w:lineRule="exact"/>
        <w:ind w:right="456"/>
        <w:jc w:val="right"/>
        <w:rPr>
          <w:i/>
          <w:spacing w:val="-5"/>
          <w:sz w:val="20"/>
        </w:rPr>
      </w:pPr>
      <w:r>
        <w:rPr>
          <w:i/>
          <w:sz w:val="20"/>
        </w:rPr>
        <w:t>Таблица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</w:t>
      </w:r>
      <w:r>
        <w:rPr>
          <w:i/>
          <w:spacing w:val="-5"/>
          <w:sz w:val="20"/>
        </w:rPr>
        <w:t xml:space="preserve"> 11.</w:t>
      </w:r>
    </w:p>
    <w:p w:rsidR="009B284C" w:rsidRDefault="009B284C" w:rsidP="009B284C">
      <w:pPr>
        <w:spacing w:after="7" w:line="225" w:lineRule="exact"/>
        <w:ind w:right="456"/>
        <w:jc w:val="center"/>
        <w:rPr>
          <w:i/>
          <w:sz w:val="20"/>
        </w:rPr>
      </w:pPr>
      <w:r>
        <w:t xml:space="preserve">[ LAND_TABLE ]</w:t>
      </w:r>
    </w:p>
    <w:p w:rsidR="0043249B" w:rsidRDefault="0043249B">
      <w:pPr>
        <w:pStyle w:val="a3"/>
        <w:ind w:left="646"/>
        <w:jc w:val="left"/>
      </w:pPr>
    </w:p>
    <w:p w:rsidR="0043249B" w:rsidRDefault="00E127F6">
      <w:pPr>
        <w:pStyle w:val="a3"/>
        <w:spacing w:before="26"/>
        <w:ind w:left="103"/>
        <w:jc w:val="center"/>
      </w:pPr>
      <w:r>
        <w:t>Рыночная</w:t>
      </w:r>
      <w:r>
        <w:rPr>
          <w:spacing w:val="-11"/>
        </w:rPr>
        <w:t xml:space="preserve"> </w:t>
      </w:r>
      <w:r>
        <w:t>стоимость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долгосрочной</w:t>
      </w:r>
      <w:r>
        <w:rPr>
          <w:spacing w:val="-10"/>
        </w:rPr>
        <w:t xml:space="preserve"> </w:t>
      </w:r>
      <w:r>
        <w:t>аренды</w:t>
      </w:r>
      <w:r>
        <w:rPr>
          <w:spacing w:val="-10"/>
        </w:rPr>
        <w:t xml:space="preserve"> </w:t>
      </w:r>
      <w:r>
        <w:t>оцениваемого</w:t>
      </w:r>
      <w:r>
        <w:rPr>
          <w:spacing w:val="-8"/>
        </w:rPr>
        <w:t xml:space="preserve"> </w:t>
      </w:r>
      <w:r>
        <w:t>земельного</w:t>
      </w:r>
      <w:r>
        <w:rPr>
          <w:spacing w:val="-9"/>
        </w:rPr>
        <w:t xml:space="preserve"> </w:t>
      </w:r>
      <w:r>
        <w:t xml:space="preserve">участка</w:t>
      </w:r>
      <w:r>
        <w:rPr>
          <w:spacing w:val="-2"/>
        </w:rPr>
        <w:t xml:space="preserve"> составляет</w:t>
      </w:r>
    </w:p>
    <w:p w:rsidR="0043249B" w:rsidRPr="00367A66" w:rsidRDefault="009B284C">
      <w:pPr>
        <w:pStyle w:val="Heading2"/>
        <w:spacing w:before="5"/>
        <w:rPr>
          <w:color w:val="0000FF"/>
          <w:u w:val="single" w:color="0000FF"/>
        </w:rPr>
      </w:pPr>
      <w:r w:rsidRPr="00367A66">
        <w:rPr>
          <w:color w:val="0000FF"/>
          <w:u w:val="single" w:color="0000FF"/>
        </w:rPr>
        <w:t xml:space="preserve">{{ agreement.land_cost }}</w:t>
      </w:r>
      <w:r w:rsidR="00E127F6" w:rsidRPr="00367A66">
        <w:rPr>
          <w:color w:val="0000FF"/>
          <w:u w:val="single" w:color="0000FF"/>
        </w:rPr>
        <w:t xml:space="preserve"> </w:t>
      </w:r>
      <w:proofErr w:type="spellStart"/>
      <w:r w:rsidR="00E127F6" w:rsidRPr="00367A6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</w:rPr>
        <w:t>.</w:t>
      </w:r>
    </w:p>
    <w:p w:rsidR="0043249B" w:rsidRDefault="00E127F6">
      <w:pPr>
        <w:pStyle w:val="a3"/>
        <w:spacing w:before="225"/>
        <w:ind w:firstLine="720"/>
        <w:jc w:val="left"/>
      </w:pPr>
      <w:r>
        <w:t>Таким образом, рыночная стоимость единого объекта недвижимости, включающего рыночную стоимость имущественных прав аренды на земельный участок, составит:</w:t>
      </w:r>
    </w:p>
    <w:p w:rsidR="0043249B" w:rsidRDefault="0043249B">
      <w:pPr>
        <w:pStyle w:val="a3"/>
        <w:spacing w:before="3"/>
        <w:ind w:left="0"/>
        <w:jc w:val="left"/>
      </w:pPr>
    </w:p>
    <w:p w:rsidR="0043249B" w:rsidRPr="00367A66" w:rsidRDefault="009B284C">
      <w:pPr>
        <w:pStyle w:val="Heading2"/>
        <w:tabs>
          <w:tab w:val="left" w:pos="4963"/>
        </w:tabs>
        <w:spacing w:before="1"/>
        <w:ind w:left="6"/>
        <w:rPr>
          <w:color w:val="0000FF"/>
          <w:u w:val="single" w:color="0000FF"/>
          <w:lang w:val="en-US"/>
        </w:rPr>
      </w:pPr>
      <w:r w:rsidRPr="00367A66">
        <w:rPr>
          <w:color w:val="0000FF"/>
          <w:u w:val="single" w:color="0000FF"/>
          <w:lang w:val="en-US"/>
        </w:rPr>
        <w:t xml:space="preserve">{{ agreement.building_cost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 xml:space="preserve"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 xml:space="preserve"> + </w:t>
      </w:r>
      <w:r w:rsidRPr="00367A66">
        <w:rPr>
          <w:color w:val="0000FF"/>
          <w:u w:val="single" w:color="0000FF"/>
          <w:lang w:val="en-US"/>
        </w:rPr>
        <w:t xml:space="preserve">{{ agreement.land_cost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 w:rsidRPr="00C86392">
        <w:rPr>
          <w:color w:val="0000FF"/>
          <w:u w:val="single" w:color="0000FF"/>
        </w:rPr>
        <w:t xml:space="preserve"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ab/>
        <w:t xml:space="preserve"> = </w:t>
      </w:r>
      <w:r w:rsidRPr="00367A66">
        <w:rPr>
          <w:color w:val="0000FF"/>
          <w:u w:val="single" w:color="0000FF"/>
          <w:lang w:val="en-US"/>
        </w:rPr>
        <w:t xml:space="preserve">{{ agreement.total_cost_value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5"/>
        <w:spacing w:line="275" w:lineRule="exact"/>
        <w:jc w:val="left"/>
        <w:rPr>
          <w:u w:val="none"/>
        </w:rPr>
      </w:pPr>
      <w:r>
        <w:rPr>
          <w:color w:val="0000FF"/>
          <w:u w:color="0000FF"/>
        </w:rPr>
        <w:t>Подход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сравнительного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анализа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продаж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Сравнительный (рыночный) подход основан на предпосылке, что рыночная стоимость имущества определяется ценами, сложившимися в результате сделок с аналогичными объектами на открытом рынке. При наличии достаточного объема рыночной информации данный подход является наиболее прямым и обоснованным способом определения стоимости объекта оценки.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Оценка объектов коммерческой недвижимости с использованием сравнительного подхода сопряжена с рядом сложностей, в частности, в части расчёта корректировок. Несмотря на наличие сделок с аналогичными объектами, их высокая неоднородность и различия в технической оснащенности затрудняют проведение точного сопоставления, особенно при недостатке информации.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После сбора и верификации рыночных данных осуществляется выбор единиц сравнения (например, стоимость за 1 м² общей площади, удельный доход и др.) и анализ элементов сравнения — характеристик, влияющих на цену (расположение, состояние, дата сделки и т.д.). Для устранения различий между объектами применяются количественные и/или качественные корректировки.</w:t>
      </w:r>
    </w:p>
    <w:p w:rsidR="00B66391" w:rsidRPr="00B66391" w:rsidRDefault="00B66391" w:rsidP="00B66391">
      <w:pPr>
        <w:pStyle w:val="4"/>
        <w:spacing w:before="0" w:line="242" w:lineRule="auto"/>
        <w:ind w:left="284" w:firstLine="709"/>
        <w:rPr>
          <w:rFonts w:ascii="Times New Roman" w:hAnsi="Times New Roman" w:cs="Times New Roman"/>
          <w:sz w:val="20"/>
          <w:szCs w:val="20"/>
        </w:rPr>
      </w:pPr>
      <w:r w:rsidRPr="00B66391">
        <w:rPr>
          <w:rFonts w:ascii="Times New Roman" w:hAnsi="Times New Roman" w:cs="Times New Roman"/>
          <w:sz w:val="20"/>
          <w:szCs w:val="20"/>
        </w:rPr>
        <w:t>Этапы оценки по сравнительному подходу: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Сбор информации о завершённых сделках и предложениях по объектам, аналогичным объекту оценки;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Проверка </w:t>
      </w:r>
      <w:proofErr w:type="spellStart"/>
      <w:r w:rsidRPr="00B66391">
        <w:rPr>
          <w:sz w:val="20"/>
          <w:szCs w:val="20"/>
        </w:rPr>
        <w:t>рыночности</w:t>
      </w:r>
      <w:proofErr w:type="spellEnd"/>
      <w:r w:rsidRPr="00B66391">
        <w:rPr>
          <w:sz w:val="20"/>
          <w:szCs w:val="20"/>
        </w:rPr>
        <w:t xml:space="preserve"> условий сделок;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Выбор подходящих единиц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Анализ различий между оцениваемым объектом и аналогами с внесением корректировок по элементам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скорректированной стоимости аналогов;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итоговой стоимости объекта на основе согласования полученных значений.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рамках настоящей оценки использовались данные о реальных сделках и прямых предложениях объектов, аналогичных </w:t>
      </w:r>
      <w:proofErr w:type="gramStart"/>
      <w:r w:rsidRPr="00B66391">
        <w:rPr>
          <w:sz w:val="20"/>
          <w:szCs w:val="20"/>
        </w:rPr>
        <w:t>оцениваемому</w:t>
      </w:r>
      <w:proofErr w:type="gramEnd"/>
      <w:r w:rsidRPr="00B66391">
        <w:rPr>
          <w:sz w:val="20"/>
          <w:szCs w:val="20"/>
        </w:rPr>
        <w:t>. Расчёт рыночной стоимости производился по следующему алгоритму: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Подбор аналогичных объектов;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параметров сравнения;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Корректировка цен аналогов;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рыночной стоимости объекта.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rStyle w:val="ad"/>
          <w:sz w:val="20"/>
          <w:szCs w:val="20"/>
        </w:rPr>
        <w:t>Корректировки вносились экспертным путем</w:t>
      </w:r>
      <w:r w:rsidRPr="00B66391">
        <w:rPr>
          <w:sz w:val="20"/>
          <w:szCs w:val="20"/>
        </w:rPr>
        <w:t xml:space="preserve">, исходя из профессионального суждения Оценщика, с опорой на рыночные данные. Процентные корректировки применялись к цене аналога с учётом различий </w:t>
      </w:r>
      <w:proofErr w:type="gramStart"/>
      <w:r w:rsidRPr="00B66391">
        <w:rPr>
          <w:sz w:val="20"/>
          <w:szCs w:val="20"/>
        </w:rPr>
        <w:t>в</w:t>
      </w:r>
      <w:proofErr w:type="gramEnd"/>
      <w:r w:rsidRPr="00B66391">
        <w:rPr>
          <w:sz w:val="20"/>
          <w:szCs w:val="20"/>
        </w:rPr>
        <w:t>: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lastRenderedPageBreak/>
        <w:t xml:space="preserve">имущественных </w:t>
      </w:r>
      <w:proofErr w:type="gramStart"/>
      <w:r w:rsidRPr="00B66391">
        <w:rPr>
          <w:sz w:val="20"/>
          <w:szCs w:val="20"/>
        </w:rPr>
        <w:t>правах</w:t>
      </w:r>
      <w:proofErr w:type="gramEnd"/>
      <w:r w:rsidRPr="00B66391">
        <w:rPr>
          <w:sz w:val="20"/>
          <w:szCs w:val="20"/>
        </w:rPr>
        <w:t>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условиях</w:t>
      </w:r>
      <w:proofErr w:type="gramEnd"/>
      <w:r w:rsidRPr="00B66391">
        <w:rPr>
          <w:sz w:val="20"/>
          <w:szCs w:val="20"/>
        </w:rPr>
        <w:t xml:space="preserve"> финансирования и продажи,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рыночной ситуации на дату оценки,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местоположении</w:t>
      </w:r>
      <w:proofErr w:type="gramEnd"/>
      <w:r w:rsidRPr="00B66391">
        <w:rPr>
          <w:sz w:val="20"/>
          <w:szCs w:val="20"/>
        </w:rPr>
        <w:t xml:space="preserve"> и иных экономических факторах,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технических </w:t>
      </w:r>
      <w:proofErr w:type="gramStart"/>
      <w:r w:rsidRPr="00B66391">
        <w:rPr>
          <w:sz w:val="20"/>
          <w:szCs w:val="20"/>
        </w:rPr>
        <w:t>характеристиках</w:t>
      </w:r>
      <w:proofErr w:type="gramEnd"/>
      <w:r w:rsidRPr="00B66391">
        <w:rPr>
          <w:sz w:val="20"/>
          <w:szCs w:val="20"/>
        </w:rPr>
        <w:t xml:space="preserve"> и состоянии.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качестве единицы сравнения была выбрана </w:t>
      </w:r>
      <w:r w:rsidRPr="00B66391">
        <w:rPr>
          <w:rStyle w:val="ad"/>
          <w:sz w:val="20"/>
          <w:szCs w:val="20"/>
        </w:rPr>
        <w:t>стоимость 1 м² общей площади</w:t>
      </w:r>
      <w:r w:rsidRPr="00B66391">
        <w:rPr>
          <w:sz w:val="20"/>
          <w:szCs w:val="20"/>
        </w:rPr>
        <w:t xml:space="preserve"> по каждому этажу согласно кадастровым данным. Для проведения корректировок применялись </w:t>
      </w:r>
      <w:r w:rsidR="009C4C9C">
        <w:rPr>
          <w:rStyle w:val="ad"/>
          <w:sz w:val="20"/>
          <w:szCs w:val="20"/>
        </w:rPr>
        <w:t>7</w:t>
      </w:r>
      <w:r w:rsidRPr="00B66391">
        <w:rPr>
          <w:rStyle w:val="ad"/>
          <w:sz w:val="20"/>
          <w:szCs w:val="20"/>
        </w:rPr>
        <w:t xml:space="preserve"> ключевых элементов сравнения</w:t>
      </w:r>
      <w:r w:rsidRPr="00B66391">
        <w:rPr>
          <w:sz w:val="20"/>
          <w:szCs w:val="20"/>
        </w:rPr>
        <w:t>, отражающих основные ценообразующие характеристики объектов.</w:t>
      </w:r>
    </w:p>
    <w:p w:rsidR="009C4C9C" w:rsidRDefault="00E127F6">
      <w:pPr>
        <w:ind w:left="285" w:right="4389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 w:rsidR="009C4C9C">
        <w:rPr>
          <w:i/>
          <w:color w:val="0000FF"/>
          <w:sz w:val="20"/>
        </w:rPr>
        <w:t>уторговывание</w:t>
      </w:r>
    </w:p>
    <w:p w:rsidR="0043249B" w:rsidRDefault="00E127F6">
      <w:pPr>
        <w:ind w:left="285" w:right="6051"/>
        <w:rPr>
          <w:i/>
          <w:sz w:val="20"/>
        </w:rPr>
      </w:pPr>
      <w:r>
        <w:rPr>
          <w:i/>
          <w:color w:val="0000FF"/>
          <w:sz w:val="20"/>
        </w:rPr>
        <w:t>Корректировки на местоположение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дату продажи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отличия в площади</w:t>
      </w:r>
    </w:p>
    <w:p w:rsidR="0043249B" w:rsidRDefault="00E127F6">
      <w:pPr>
        <w:ind w:left="285" w:right="4389"/>
        <w:rPr>
          <w:i/>
          <w:sz w:val="20"/>
        </w:rPr>
      </w:pPr>
      <w:r>
        <w:rPr>
          <w:i/>
          <w:color w:val="0000FF"/>
          <w:sz w:val="20"/>
        </w:rPr>
        <w:t>Корректировки на физические характеристики объекта оценки Корректировки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экономические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характеристики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объекта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 xml:space="preserve">оценки </w:t>
      </w:r>
    </w:p>
    <w:p w:rsidR="0043249B" w:rsidRDefault="00E127F6">
      <w:pPr>
        <w:ind w:left="285"/>
        <w:rPr>
          <w:i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компоненты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стоимости,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не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входящих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в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состав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pacing w:val="-2"/>
          <w:sz w:val="20"/>
        </w:rPr>
        <w:t>недвижимости</w:t>
      </w:r>
    </w:p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E127F6">
      <w:pPr>
        <w:pStyle w:val="a3"/>
        <w:spacing w:line="229" w:lineRule="exact"/>
        <w:ind w:left="336"/>
        <w:jc w:val="left"/>
      </w:pPr>
      <w:r>
        <w:t>Техника</w:t>
      </w:r>
      <w:r>
        <w:rPr>
          <w:spacing w:val="-10"/>
        </w:rPr>
        <w:t xml:space="preserve"> </w:t>
      </w:r>
      <w:r>
        <w:t>внесения</w:t>
      </w:r>
      <w:r>
        <w:rPr>
          <w:spacing w:val="-8"/>
        </w:rPr>
        <w:t xml:space="preserve"> </w:t>
      </w:r>
      <w:r>
        <w:t>корректировок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таблице:</w:t>
      </w:r>
    </w:p>
    <w:p w:rsidR="0043249B" w:rsidRDefault="00E127F6">
      <w:pPr>
        <w:spacing w:line="229" w:lineRule="exact"/>
        <w:ind w:left="9465"/>
        <w:rPr>
          <w:i/>
          <w:sz w:val="20"/>
        </w:rPr>
      </w:pPr>
      <w:r>
        <w:rPr>
          <w:i/>
          <w:sz w:val="20"/>
        </w:rPr>
        <w:t xml:space="preserve">Таблица</w:t>
      </w:r>
      <w:r>
        <w:rPr>
          <w:i/>
          <w:spacing w:val="-5"/>
          <w:sz w:val="20"/>
        </w:rPr>
        <w:t xml:space="preserve"> 17</w:t>
      </w:r>
    </w:p>
    <w:p w:rsidR="0043249B" w:rsidRDefault="0043249B">
      <w:pPr>
        <w:pStyle w:val="a3"/>
        <w:spacing w:before="8"/>
        <w:ind w:left="0"/>
        <w:jc w:val="left"/>
        <w:rPr>
          <w:i/>
        </w:rPr>
      </w:pPr>
    </w:p>
    <w:p w:rsidR="0043249B" w:rsidRPr="00DF0891" w:rsidRDefault="009C4C9C">
      <w:pPr>
        <w:pStyle w:val="TableParagraph"/>
        <w:spacing w:line="225" w:lineRule="exact"/>
        <w:jc w:val="center"/>
        <w:rPr>
          <w:rFonts w:ascii="Cambria" w:hAnsi="Cambria"/>
        </w:rPr>
      </w:pPr>
      <w:r w:rsidRPr="009C4C9C">
        <w:rPr>
          <w:rFonts w:ascii="Cambria" w:hAnsi="Cambria"/>
        </w:rPr>
        <w:t xml:space="preserve">[ comparative_table ]</w:t>
      </w: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 xml:space="preserve"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agreement_method_summary }}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 xml:space="preserve"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[ agreement_table ]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 xml:space="preserve">{{ total_area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living_area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land_area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 xml:space="preserve">{{ administrative.oblast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administrative.rayon 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address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owner_name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inspection_date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 xml:space="preserve">(</w:t>
      </w:r>
      <w:r w:rsidR="006B04FF">
        <w:rPr>
          <w:color w:val="0000FF"/>
          <w:lang w:val="en-US"/>
        </w:rPr>
        <w:t xml:space="preserve">{{ valuation_purpose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 xml:space="preserve">{{ agreement.edited_final_cost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({{ agreement.amount_in_words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 xml:space="preserve">2. 1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5A9" w:rsidRDefault="00CD65A9" w:rsidP="0043249B">
      <w:r>
        <w:separator/>
      </w:r>
    </w:p>
  </w:endnote>
  <w:endnote w:type="continuationSeparator" w:id="0">
    <w:p w:rsidR="00CD65A9" w:rsidRDefault="00CD65A9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706C9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 xml:space="preserve">2. 1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7706C9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052B7A">
                  <w:rPr>
                    <w:noProof/>
                    <w:spacing w:val="-5"/>
                  </w:rPr>
                  <w:t>13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5A9" w:rsidRDefault="00CD65A9" w:rsidP="0043249B">
      <w:r>
        <w:separator/>
      </w:r>
    </w:p>
  </w:footnote>
  <w:footnote w:type="continuationSeparator" w:id="0">
    <w:p w:rsidR="00CD65A9" w:rsidRDefault="00CD65A9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706C9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8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0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34"/>
  </w:num>
  <w:num w:numId="5">
    <w:abstractNumId w:val="4"/>
  </w:num>
  <w:num w:numId="6">
    <w:abstractNumId w:val="22"/>
  </w:num>
  <w:num w:numId="7">
    <w:abstractNumId w:val="25"/>
  </w:num>
  <w:num w:numId="8">
    <w:abstractNumId w:val="29"/>
  </w:num>
  <w:num w:numId="9">
    <w:abstractNumId w:val="8"/>
  </w:num>
  <w:num w:numId="10">
    <w:abstractNumId w:val="5"/>
  </w:num>
  <w:num w:numId="11">
    <w:abstractNumId w:val="9"/>
  </w:num>
  <w:num w:numId="12">
    <w:abstractNumId w:val="33"/>
  </w:num>
  <w:num w:numId="13">
    <w:abstractNumId w:val="32"/>
  </w:num>
  <w:num w:numId="14">
    <w:abstractNumId w:val="3"/>
  </w:num>
  <w:num w:numId="15">
    <w:abstractNumId w:val="31"/>
  </w:num>
  <w:num w:numId="16">
    <w:abstractNumId w:val="20"/>
  </w:num>
  <w:num w:numId="17">
    <w:abstractNumId w:val="18"/>
  </w:num>
  <w:num w:numId="18">
    <w:abstractNumId w:val="7"/>
  </w:num>
  <w:num w:numId="19">
    <w:abstractNumId w:val="23"/>
  </w:num>
  <w:num w:numId="20">
    <w:abstractNumId w:val="11"/>
  </w:num>
  <w:num w:numId="21">
    <w:abstractNumId w:val="6"/>
  </w:num>
  <w:num w:numId="22">
    <w:abstractNumId w:val="2"/>
  </w:num>
  <w:num w:numId="23">
    <w:abstractNumId w:val="28"/>
  </w:num>
  <w:num w:numId="24">
    <w:abstractNumId w:val="1"/>
  </w:num>
  <w:num w:numId="25">
    <w:abstractNumId w:val="16"/>
  </w:num>
  <w:num w:numId="26">
    <w:abstractNumId w:val="0"/>
  </w:num>
  <w:num w:numId="27">
    <w:abstractNumId w:val="10"/>
  </w:num>
  <w:num w:numId="28">
    <w:abstractNumId w:val="13"/>
  </w:num>
  <w:num w:numId="29">
    <w:abstractNumId w:val="24"/>
  </w:num>
  <w:num w:numId="30">
    <w:abstractNumId w:val="21"/>
  </w:num>
  <w:num w:numId="31">
    <w:abstractNumId w:val="14"/>
  </w:num>
  <w:num w:numId="32">
    <w:abstractNumId w:val="30"/>
  </w:num>
  <w:num w:numId="33">
    <w:abstractNumId w:val="27"/>
  </w:num>
  <w:num w:numId="34">
    <w:abstractNumId w:val="26"/>
  </w:num>
  <w:num w:numId="35">
    <w:abstractNumId w:val="1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11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977BE-BB72-4E23-B48D-512CEA4F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</Pages>
  <Words>6180</Words>
  <Characters>35228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41326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76</cp:revision>
  <dcterms:created xsi:type="dcterms:W3CDTF">2025-05-20T03:52:00Z</dcterms:created>
  <dcterms:modified xsi:type="dcterms:W3CDTF">2025-06-10T08:19:00Z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